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83" w:rsidRPr="00047DBA" w:rsidRDefault="00D34D83" w:rsidP="00047DBA">
      <w:pPr>
        <w:widowControl w:val="0"/>
        <w:spacing w:after="0" w:line="240" w:lineRule="auto"/>
        <w:ind w:right="1560"/>
        <w:rPr>
          <w:rFonts w:ascii="Times New Roman" w:hAnsi="Times New Roman" w:cs="Times New Roman"/>
          <w:sz w:val="24"/>
          <w:szCs w:val="24"/>
        </w:rPr>
      </w:pPr>
      <w:r>
        <w:rPr>
          <w:rFonts w:ascii="Times New Roman" w:hAnsi="Times New Roman" w:cs="Times New Roman"/>
          <w:sz w:val="24"/>
          <w:szCs w:val="24"/>
        </w:rPr>
        <w:t xml:space="preserve">                                                                                             </w:t>
      </w:r>
    </w:p>
    <w:p w:rsidR="00D34D83" w:rsidRDefault="00D34D83" w:rsidP="00047DBA">
      <w:pPr>
        <w:widowControl w:val="0"/>
        <w:spacing w:after="0" w:line="240" w:lineRule="auto"/>
        <w:ind w:left="5580" w:right="-42"/>
        <w:rPr>
          <w:rFonts w:ascii="Times New Roman" w:hAnsi="Times New Roman" w:cs="Times New Roman"/>
          <w:sz w:val="24"/>
          <w:szCs w:val="24"/>
        </w:rPr>
      </w:pPr>
      <w:r w:rsidRPr="00047DB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34D83" w:rsidRDefault="00D34D83" w:rsidP="00636BF7">
      <w:pPr>
        <w:widowControl w:val="0"/>
        <w:spacing w:after="0" w:line="240" w:lineRule="auto"/>
        <w:ind w:right="-42"/>
        <w:rPr>
          <w:rFonts w:ascii="Times New Roman" w:hAnsi="Times New Roman" w:cs="Times New Roman"/>
          <w:sz w:val="24"/>
          <w:szCs w:val="24"/>
        </w:rPr>
      </w:pPr>
      <w:r>
        <w:rPr>
          <w:rFonts w:ascii="Times New Roman" w:hAnsi="Times New Roman" w:cs="Times New Roman"/>
          <w:sz w:val="24"/>
          <w:szCs w:val="24"/>
        </w:rPr>
        <w:t xml:space="preserve">                                                                                                         Приложение</w:t>
      </w:r>
    </w:p>
    <w:p w:rsidR="00D34D83" w:rsidRDefault="00D34D83" w:rsidP="00636BF7">
      <w:pPr>
        <w:widowControl w:val="0"/>
        <w:spacing w:after="0" w:line="240" w:lineRule="auto"/>
        <w:ind w:left="6288" w:right="-42"/>
        <w:rPr>
          <w:rFonts w:ascii="Times New Roman" w:hAnsi="Times New Roman" w:cs="Times New Roman"/>
          <w:sz w:val="24"/>
          <w:szCs w:val="24"/>
        </w:rPr>
      </w:pPr>
      <w:r>
        <w:rPr>
          <w:rFonts w:ascii="Times New Roman" w:hAnsi="Times New Roman" w:cs="Times New Roman"/>
          <w:sz w:val="24"/>
          <w:szCs w:val="24"/>
        </w:rPr>
        <w:t>к решению Е</w:t>
      </w:r>
      <w:r w:rsidRPr="00047DBA">
        <w:rPr>
          <w:rFonts w:ascii="Times New Roman" w:hAnsi="Times New Roman" w:cs="Times New Roman"/>
          <w:sz w:val="24"/>
          <w:szCs w:val="24"/>
        </w:rPr>
        <w:t xml:space="preserve">впаторийского </w:t>
      </w:r>
      <w:r>
        <w:rPr>
          <w:rFonts w:ascii="Times New Roman" w:hAnsi="Times New Roman" w:cs="Times New Roman"/>
          <w:sz w:val="24"/>
          <w:szCs w:val="24"/>
        </w:rPr>
        <w:t xml:space="preserve">                                                                         </w:t>
      </w:r>
      <w:r w:rsidRPr="00047DBA">
        <w:rPr>
          <w:rFonts w:ascii="Times New Roman" w:hAnsi="Times New Roman" w:cs="Times New Roman"/>
          <w:sz w:val="24"/>
          <w:szCs w:val="24"/>
        </w:rPr>
        <w:t xml:space="preserve">городского совета </w:t>
      </w:r>
    </w:p>
    <w:p w:rsidR="00D34D83" w:rsidRPr="00047DBA" w:rsidRDefault="00D34D83" w:rsidP="00636BF7">
      <w:pPr>
        <w:widowControl w:val="0"/>
        <w:spacing w:after="0" w:line="240" w:lineRule="auto"/>
        <w:ind w:left="6204" w:right="-42" w:firstLine="84"/>
        <w:rPr>
          <w:rFonts w:ascii="Times New Roman" w:hAnsi="Times New Roman" w:cs="Times New Roman"/>
          <w:sz w:val="24"/>
          <w:szCs w:val="24"/>
        </w:rPr>
      </w:pPr>
      <w:r w:rsidRPr="00047DBA">
        <w:rPr>
          <w:rFonts w:ascii="Times New Roman" w:hAnsi="Times New Roman" w:cs="Times New Roman"/>
          <w:sz w:val="24"/>
          <w:szCs w:val="24"/>
        </w:rPr>
        <w:t>от 12.05.2020 №2-14/1</w:t>
      </w:r>
    </w:p>
    <w:p w:rsidR="00D34D83" w:rsidRDefault="00D34D83" w:rsidP="001B4FBD">
      <w:pPr>
        <w:widowControl w:val="0"/>
        <w:spacing w:after="0" w:line="240" w:lineRule="auto"/>
        <w:ind w:left="1701" w:right="1560"/>
        <w:jc w:val="center"/>
        <w:rPr>
          <w:rFonts w:ascii="Times New Roman" w:hAnsi="Times New Roman" w:cs="Times New Roman"/>
          <w:b/>
          <w:bCs/>
          <w:sz w:val="24"/>
          <w:szCs w:val="24"/>
        </w:rPr>
      </w:pPr>
    </w:p>
    <w:p w:rsidR="00D34D83" w:rsidRDefault="00D34D83" w:rsidP="001B4FBD">
      <w:pPr>
        <w:widowControl w:val="0"/>
        <w:spacing w:after="0" w:line="240" w:lineRule="auto"/>
        <w:ind w:left="1701" w:right="1560"/>
        <w:jc w:val="center"/>
        <w:rPr>
          <w:rFonts w:ascii="Times New Roman" w:hAnsi="Times New Roman" w:cs="Times New Roman"/>
          <w:b/>
          <w:bCs/>
          <w:sz w:val="24"/>
          <w:szCs w:val="24"/>
        </w:rPr>
      </w:pPr>
    </w:p>
    <w:p w:rsidR="00D34D83" w:rsidRDefault="00D34D83" w:rsidP="00047DBA">
      <w:pPr>
        <w:widowControl w:val="0"/>
        <w:spacing w:after="0" w:line="240" w:lineRule="auto"/>
        <w:ind w:right="1560"/>
        <w:rPr>
          <w:rFonts w:ascii="Times New Roman" w:hAnsi="Times New Roman" w:cs="Times New Roman"/>
          <w:b/>
          <w:bCs/>
          <w:sz w:val="24"/>
          <w:szCs w:val="24"/>
        </w:rPr>
      </w:pPr>
    </w:p>
    <w:p w:rsidR="00D34D83" w:rsidRPr="001B4FBD" w:rsidRDefault="00D34D83" w:rsidP="001B4FBD">
      <w:pPr>
        <w:widowControl w:val="0"/>
        <w:spacing w:after="0" w:line="240" w:lineRule="auto"/>
        <w:ind w:left="1701" w:right="1560"/>
        <w:jc w:val="center"/>
        <w:rPr>
          <w:rFonts w:ascii="Times New Roman" w:hAnsi="Times New Roman" w:cs="Times New Roman"/>
          <w:b/>
          <w:bCs/>
          <w:sz w:val="24"/>
          <w:szCs w:val="24"/>
        </w:rPr>
      </w:pPr>
      <w:r w:rsidRPr="001B4FBD">
        <w:rPr>
          <w:rFonts w:ascii="Times New Roman" w:hAnsi="Times New Roman" w:cs="Times New Roman"/>
          <w:b/>
          <w:bCs/>
          <w:sz w:val="24"/>
          <w:szCs w:val="24"/>
        </w:rPr>
        <w:t>ОТЧЕТ</w:t>
      </w:r>
    </w:p>
    <w:p w:rsidR="00D34D83" w:rsidRPr="001B4FBD" w:rsidRDefault="00D34D83" w:rsidP="001B4FBD">
      <w:pPr>
        <w:widowControl w:val="0"/>
        <w:spacing w:after="0" w:line="240" w:lineRule="auto"/>
        <w:ind w:left="1701" w:right="1560"/>
        <w:jc w:val="center"/>
        <w:rPr>
          <w:rFonts w:ascii="Times New Roman" w:hAnsi="Times New Roman" w:cs="Times New Roman"/>
          <w:b/>
          <w:bCs/>
          <w:sz w:val="24"/>
          <w:szCs w:val="24"/>
        </w:rPr>
      </w:pPr>
      <w:r w:rsidRPr="001B4FBD">
        <w:rPr>
          <w:rFonts w:ascii="Times New Roman" w:hAnsi="Times New Roman" w:cs="Times New Roman"/>
          <w:b/>
          <w:bCs/>
          <w:sz w:val="24"/>
          <w:szCs w:val="24"/>
        </w:rPr>
        <w:t>Главы администрации города Евпатории</w:t>
      </w:r>
      <w:r>
        <w:rPr>
          <w:rFonts w:ascii="Times New Roman" w:hAnsi="Times New Roman" w:cs="Times New Roman"/>
          <w:b/>
          <w:bCs/>
          <w:sz w:val="24"/>
          <w:szCs w:val="24"/>
        </w:rPr>
        <w:t xml:space="preserve"> </w:t>
      </w:r>
      <w:r w:rsidRPr="001B4FBD">
        <w:rPr>
          <w:rFonts w:ascii="Times New Roman" w:hAnsi="Times New Roman" w:cs="Times New Roman"/>
          <w:b/>
          <w:bCs/>
          <w:sz w:val="24"/>
          <w:szCs w:val="24"/>
        </w:rPr>
        <w:t>Республики Крым</w:t>
      </w:r>
      <w:r>
        <w:rPr>
          <w:rFonts w:ascii="Times New Roman" w:hAnsi="Times New Roman" w:cs="Times New Roman"/>
          <w:b/>
          <w:bCs/>
          <w:sz w:val="24"/>
          <w:szCs w:val="24"/>
        </w:rPr>
        <w:t xml:space="preserve"> </w:t>
      </w:r>
      <w:r w:rsidRPr="001B4FBD">
        <w:rPr>
          <w:rFonts w:ascii="Times New Roman" w:hAnsi="Times New Roman" w:cs="Times New Roman"/>
          <w:b/>
          <w:bCs/>
          <w:sz w:val="24"/>
          <w:szCs w:val="24"/>
        </w:rPr>
        <w:t>Р. Г. Тихончука</w:t>
      </w:r>
      <w:r>
        <w:rPr>
          <w:rFonts w:ascii="Times New Roman" w:hAnsi="Times New Roman" w:cs="Times New Roman"/>
          <w:b/>
          <w:bCs/>
          <w:sz w:val="24"/>
          <w:szCs w:val="24"/>
        </w:rPr>
        <w:t xml:space="preserve"> </w:t>
      </w:r>
      <w:r w:rsidRPr="001B4FBD">
        <w:rPr>
          <w:rFonts w:ascii="Times New Roman" w:hAnsi="Times New Roman" w:cs="Times New Roman"/>
          <w:b/>
          <w:bCs/>
          <w:sz w:val="24"/>
          <w:szCs w:val="24"/>
        </w:rPr>
        <w:t>о результатах деятельности и деятельности Администрации города Евпатории</w:t>
      </w:r>
      <w:r>
        <w:rPr>
          <w:rFonts w:ascii="Times New Roman" w:hAnsi="Times New Roman" w:cs="Times New Roman"/>
          <w:b/>
          <w:bCs/>
          <w:sz w:val="24"/>
          <w:szCs w:val="24"/>
        </w:rPr>
        <w:t xml:space="preserve"> </w:t>
      </w:r>
      <w:r w:rsidRPr="001B4FBD">
        <w:rPr>
          <w:rFonts w:ascii="Times New Roman" w:hAnsi="Times New Roman" w:cs="Times New Roman"/>
          <w:b/>
          <w:bCs/>
          <w:sz w:val="24"/>
          <w:szCs w:val="24"/>
        </w:rPr>
        <w:t>Республики Крым за 2019 год</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Уважаемые евпаторийцы,</w:t>
      </w: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депутаты Евпаторийского городского совета!</w:t>
      </w:r>
    </w:p>
    <w:p w:rsidR="00D34D83" w:rsidRPr="001B4FBD" w:rsidRDefault="00D34D83" w:rsidP="001B4FBD">
      <w:pPr>
        <w:widowControl w:val="0"/>
        <w:spacing w:after="0" w:line="240" w:lineRule="auto"/>
        <w:ind w:firstLine="709"/>
        <w:jc w:val="center"/>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Проанализировав итоги ушедшего года, необходимо признать, что это был очень непростой период для нашего города. Не буду скрывать, что не всё из запланированного удалось воплотить. Вместе с тем нельзя отрицать и того, что в 2019 году сделано многое для будущего динамичного развития нашего городского округа. Как и в предыдущие годы, основными направлениями деятельности в 2019 году являлось улучшение качества жизни населения, развитие инфраструктуры, создание территории, комфортной для жизни. В прошлом году мы разработали дорожную карту по получению городом статуса Всероссийской детской здравницы и приступили к исполнению намеченных планов. Продолжили работу над созданием стратегии социально-экономического развития муниципального образования. </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Ключевые направления работы уходящего года были определены в соответствии с задачами, обозначенными в «майских» указах Президента Российской Федерации Владимира Владимировича Путина, в Послании Президента Российской Федерации Федеральному собранию. Из них сформированы конкретные задачи: улучшение качества автомобильных дорог, формирование комфортной городской среды, модернизация материально-технической базы учреждений образования, культуры, обеспечение социальной защищенности населения и другое. </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Успешная реализация всех намеченных планов стала возможной благодаря ежедневной работе евпаторийцев, взаимодействию всех ветвей власти – как исполнительной, так и представительной, поддержке Главы муниципального образования Олеси Викторовны Харитоненко, Главы Республики Крым Сергея Валерьевича Аксёнова.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результате в 2019 году нам удалось осуществить многое из запланированного. Прошлый год можно с уверенность назвать годом напряженной и результативной работы.</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I. ОБЩИЕ ПОКАЗАТЕЛИ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Позитивные тенденции социально-экономического развития городского округа рассмотрим в сравнении с показателями 2018 года.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1. Увеличились поступления налоговых и неналоговых платежей в бюджет муниципального образования на 27.2%, что составило 1</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238,9 млн рублей.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2. На 22,5% увеличился объем пассажирских перевозок, а объем грузоперевозок стал больше на 2,3%.</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3. Объем инвестиций возрос на 18,6% (по итогам 9 месяцев 2019 года).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4. По подсчетам за 9 месяцев увеличился оборот розничной торговли на 15,5%.</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5. Возросло количество организованных отдыхающих на 12,1%.</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6. Увеличился размер заработной платы на 9,5% (по подсчетам за 11 месяцев).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7. Объем отгруженных товаров собственного производства, выполненных работ и услуг собственными силами на предприятиях водоснабжения, водоотведения, организации сбора и утилизации отходов, деятельности по ликвидации загрязнений увеличился на 6,9%, на предприятиях по обеспечению электрической энергией, газом и паром, кондиционированию воздуха — ​на 5,0%, на предприятиях обрабатывающих производств — ​на 2,6%.</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8. По состоянию на 01.01.2020 г. отсутствует просроченная задолженность по заработной плате.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9. Отмечается рост численности населения на 486 человек (по итогам 11 месяцев 2019 года) за счет положительного сальдо миграции — ​952 человека.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тоже время, стоит отметить негативные тенденции в сравнении с 2018 годом.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1. Сократилась общая площадь принятого в эксплуатацию жилья на 43,0%.</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2. Отмечается снижение объема работ, выполненных по виду деятельности «Строительство» в сопоставимых ценах на 39,2%;</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3. Снизилось количество пассажиров, перевозимых электротранспортом на 21,0%.</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4. Естественная убыль населения по итогам 11 месяцев 2019 года составила 466 человек.</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5. Увеличилась численность незанятых трудовой деятельностью граждан по состоянию на 01.01.2020 г. на 36,2%.</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II. ФИНАНСЫ И БЮДЖЕТНАЯ ПОЛИТИКА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Положительные изменения в экономике города оказали влияние на рост поступлений в бюджет.</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2019 год в бюджет городского округа Евпатория поступило 2</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947,5 млн рублей.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Доходов в виде налоговых и неналоговых поступлений получено 1</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238,9 млн рублей, годовые плановые показатели выполнены на 126,8%. По сравнению с аналогичным периодом 2018 года поступления увеличились на 264,6 млн рублей или на 27,2%.</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Большую часть поступлений занимает налог на доходы физических лиц — ​423,2 млн рублей или 34,2% в общем объеме. Обеспечено выполнение плановых показателей 2019 года на 100,3%. По сравнению с 2018 годом поступления увеличились на 50,5 млн рублей (13,6%).</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2019 год бюджет получил 1</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708,6 млн рублей безвозмездных поступлений из других бюджетов Российской Федерации, что составило 71,2% от плановых показателей (2</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398,5 млн рублей).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Расходование средств местного бюджета продолжалось в рамках 17 муниципальных программ, разработанных в соответствии с приоритетами социально-экономического развития городского округа и с учетом положений, соответствующих федеральных целевых программ Российской Федерации, государственных программ Российской Федерации и Республики Крым. В общем объеме расходов 96,3% составляют программные расходы (2,8 млрд рублей).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израсходовано 2,9 млрд рублей (2</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929,3 млн рублей). Сохраняется социальная направленность бюджета:</w:t>
      </w:r>
    </w:p>
    <w:p w:rsidR="00D34D83" w:rsidRPr="001B4FBD" w:rsidRDefault="00D34D83" w:rsidP="008E54B8">
      <w:pPr>
        <w:pStyle w:val="ListParagraph"/>
        <w:widowControl w:val="0"/>
        <w:numPr>
          <w:ilvl w:val="0"/>
          <w:numId w:val="2"/>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на развитие социальной сферы направлено 2,2 млрд рублей или 76,0% всех расходов бюджета:</w:t>
      </w:r>
    </w:p>
    <w:p w:rsidR="00D34D83" w:rsidRPr="001B4FBD" w:rsidRDefault="00D34D83" w:rsidP="008E54B8">
      <w:pPr>
        <w:pStyle w:val="ListParagraph"/>
        <w:widowControl w:val="0"/>
        <w:numPr>
          <w:ilvl w:val="0"/>
          <w:numId w:val="2"/>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образование — ​49,7% (1,5 млрд рублей);</w:t>
      </w:r>
    </w:p>
    <w:p w:rsidR="00D34D83" w:rsidRPr="001B4FBD" w:rsidRDefault="00D34D83" w:rsidP="008E54B8">
      <w:pPr>
        <w:pStyle w:val="ListParagraph"/>
        <w:widowControl w:val="0"/>
        <w:numPr>
          <w:ilvl w:val="0"/>
          <w:numId w:val="2"/>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социальная политика — ​15,7% (458,7 млн рублей);</w:t>
      </w:r>
    </w:p>
    <w:p w:rsidR="00D34D83" w:rsidRPr="001B4FBD" w:rsidRDefault="00D34D83" w:rsidP="008E54B8">
      <w:pPr>
        <w:pStyle w:val="ListParagraph"/>
        <w:widowControl w:val="0"/>
        <w:numPr>
          <w:ilvl w:val="0"/>
          <w:numId w:val="2"/>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культура — ​3,2% (94,9 млн рублей);</w:t>
      </w:r>
    </w:p>
    <w:p w:rsidR="00D34D83" w:rsidRPr="001B4FBD" w:rsidRDefault="00D34D83" w:rsidP="008E54B8">
      <w:pPr>
        <w:pStyle w:val="ListParagraph"/>
        <w:widowControl w:val="0"/>
        <w:numPr>
          <w:ilvl w:val="0"/>
          <w:numId w:val="2"/>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физическая культура и спорт — ​6,6% (193,9 млн рублей);</w:t>
      </w:r>
    </w:p>
    <w:p w:rsidR="00D34D83" w:rsidRPr="001B4FBD" w:rsidRDefault="00D34D83" w:rsidP="008E54B8">
      <w:pPr>
        <w:pStyle w:val="ListParagraph"/>
        <w:widowControl w:val="0"/>
        <w:numPr>
          <w:ilvl w:val="0"/>
          <w:numId w:val="2"/>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средства массовой информации — ​0,7% (21,7 млн рублей);</w:t>
      </w:r>
    </w:p>
    <w:p w:rsidR="00D34D83" w:rsidRPr="001B4FBD" w:rsidRDefault="00D34D83" w:rsidP="008E54B8">
      <w:pPr>
        <w:pStyle w:val="ListParagraph"/>
        <w:widowControl w:val="0"/>
        <w:numPr>
          <w:ilvl w:val="0"/>
          <w:numId w:val="2"/>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национальная экономика (развитие отраслей) — ​6,7% (196,5 млн рублей);</w:t>
      </w:r>
    </w:p>
    <w:p w:rsidR="00D34D83" w:rsidRPr="001B4FBD" w:rsidRDefault="00D34D83" w:rsidP="008E54B8">
      <w:pPr>
        <w:pStyle w:val="ListParagraph"/>
        <w:widowControl w:val="0"/>
        <w:numPr>
          <w:ilvl w:val="0"/>
          <w:numId w:val="2"/>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жилищно-коммунальное хозяйство — ​12,2% (357,9 млн рублей);</w:t>
      </w:r>
    </w:p>
    <w:p w:rsidR="00D34D83" w:rsidRPr="001B4FBD" w:rsidRDefault="00D34D83" w:rsidP="008E54B8">
      <w:pPr>
        <w:pStyle w:val="ListParagraph"/>
        <w:widowControl w:val="0"/>
        <w:numPr>
          <w:ilvl w:val="0"/>
          <w:numId w:val="2"/>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решение общегосударственных вопросов — ​4,7% (137,6 млн рублей).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бюджете городского округа остается значительным участие вышестоящих бюджетов: из общей суммы расходов почти 63,1% или 1</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847,4 млн рублей — ​это расходы, произведенные за счёт дотаций, субвенций, субсидий и иных межбюджетных трансфертов из бюджета Республики Крым.</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III. РАЗВИТИЕ ОБЪЕКТОВ ИНФРАСТРУКТУРЫ И БЛАГОУСТРОЙСТВА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администрацией города Евпатории продолжена работа по реализации федеральной целевой программы «Социально-экономическое развитие Республики Крым и г. Севастополя до 2022 года» и государственной программы развития физической культуры и спорта в Республике Крым.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Заключены соглашения о предоставлении субсидий на реализацию федеральной целевой программы и государственной программы с профильными министерствами Республики Крым: министерством образования, науки и молодежи, министерством курортов и туризма, министерством спорта.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течение 2019 года осуществлялись проектно-изыскательские работы (разработка проектно-сметной документации), финансируемые из федерального и республиканского бюджетов, по следующим объектам:</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городских сетей водоснабжения;</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изношенных сетей канализации при учете необходимости реконструкции глубоководного выпуска КОС;</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городских сетей канализации, 2 этап;</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строительство водовода;</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строительство напорного коллектора вдоль озера Мойнаки. Проект «Золотое кольцо здоровья»;</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грязелечебницы «Мойнаки»;</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трамвайного пути и контактной сети.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Кроме того, осуществлялись строительно-монтажные работы или подготовка к их выполнению, финансируемые из федерального бюджета, по следующим объектам:</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объектов МБУ «Дворец спорта»;</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капитальный ремонт детской школы искусств в пгт. Мирный, ул. Сырникова, дом 6-Б;</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дошкольного образовательного учреждения «Золотая рыбка» (ул. Транспортная, 2). Работы завершены, детский сад открыт.</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капитальный ремонт кровли МБУ ДО «Евпаторийская детская школа искусств» (ул. Демышева, 129);</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капитальный ремонт здания МБУК ТСК «Марионетки» (ул. Интернациональная, 17);</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xml:space="preserve">- реконструкция улично-дорожной сети лот 2 (администрацией города Евпатория был осуществлен возврат авансового платежа); </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улично-дорожной сети лот 4;</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набережной им. Терешковой с прилегающим сквером им. Караева с берегоукрепительными работами;</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улично-дорожной сети этап I, лот 1; этап III, лот 3; этап V, лот 5 (проводится работа по возврату авансового платежа);</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подготовка к строительству 2-х пассажирских пирсов: в районе пансионата «Солнечный», в районе поселка Заозерное (проводится работа по возврату авансового платежа);</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проектно-сметные работы по капитальному ремонту здания МБУК «Евпаторийский центр культуры и досуга». Принято решение о расторжении муниципального контракта по согласию сторон, в связи с полученным заключением экспертной организации, признавшей здание аварийным.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Принято решение о расторжении контракта на строительно-монтажные работы в одностороннем порядке на основании существенных нарушений условий муниципальных контрактов, которые были допущены порядными организациями. Среди таких объектов:</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улично-дорожной сети городского округа этапы I, II, III, V; лоты 1, 2, 3 и 5 соответственно;</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набережной им. Терешковой с прилегающим сквером им. Караева с берегоукрепительными работами;</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строительство 2-х пассажирских пирсов.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основании постановления Совета министров Республики Крым от 19.08.2019 № 444 пять объектов переданы в ГКУ «Инвестстрой» для выполнения строительно-монтажных работ:</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строительство напорного коллектора вдоль озера Мойнаки, проект «Золотое кольцо здоровья», Республики Крым, г. Евпатория»;</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улично-дорожной сети этап II (система ливневой канализации);</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городских сетей водоснабжения, II этап;</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трамвайного пути и контактной сети;</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строительство водовода.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Объекты, финансируемые в рамках республиканской адресной программы и муниципального бюджета города Евпатории, по которым выполнялась поставка в 2019 году:</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приобретение модульного детского сада к МБОУ «Средняя школа № 12» (ул. Хлебная, 51);</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приобретение модульного пищеблока для МБОУ «Средняя школа № 18 с крымскотатарским языком обучения». В связи с существенными нарушениями поставщиком условий контракта он был расторгнут. В настоящее время решается вопрос финансирования, для завершения поставки.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Объекты, финансируемые в рамках республиканской адресной программы и муниципального бюджета города Евпатории, по которым выполнялись проектно-изыскательские работы:</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берегоукрепление и восстановление пляжной зоны в г. Евпатории (2-я очередь, включая волнозащитные и пляжеудерживающие сооружения);</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Евпаторийского дошкольного образовательного учреждения (ясли-сад) № 26 «Росинка» (ул. Некрасова, 77А).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Объекты, финансируемые за счет средств муниципального бюджета, выполняемые в рамках муниципального проекта «Моя красивая школа», по которым выполнялись строительно-монтажные работы:</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капитальный ремонт МБОУ «Гимназия №8»;</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капитальный ремонт МБОУ «Средняя школа №12»;</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капитальный ремонт МБОУ «Средняя школа №13»;</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капитальный ремонт МБОУ «Средняя школа №14».</w:t>
      </w:r>
    </w:p>
    <w:p w:rsidR="00D34D83" w:rsidRPr="001B4FBD" w:rsidRDefault="00D34D83" w:rsidP="008E54B8">
      <w:pPr>
        <w:widowControl w:val="0"/>
        <w:spacing w:after="0" w:line="240" w:lineRule="auto"/>
        <w:ind w:firstLine="708"/>
        <w:jc w:val="both"/>
        <w:rPr>
          <w:rFonts w:ascii="Times New Roman" w:hAnsi="Times New Roman" w:cs="Times New Roman"/>
          <w:sz w:val="24"/>
          <w:szCs w:val="24"/>
        </w:rPr>
      </w:pPr>
      <w:r w:rsidRPr="001B4FBD">
        <w:rPr>
          <w:rFonts w:ascii="Times New Roman" w:hAnsi="Times New Roman" w:cs="Times New Roman"/>
          <w:sz w:val="24"/>
          <w:szCs w:val="24"/>
        </w:rPr>
        <w:t>Объекты, финансируемые за счет средств муниципального бюджета города Евпатории, по которым выполнялись проектно-изыскательские работы:</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строительство сетей газоснабжения;</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объектов открытой спортивной инфраструктуры МБУ «Дворец спорта»;</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строительство средней школы с крымскотатарским языком обучения в мкрн. Исмаил-бей;</w:t>
      </w:r>
    </w:p>
    <w:p w:rsidR="00D34D83" w:rsidRPr="001B4FBD" w:rsidRDefault="00D34D83" w:rsidP="008E54B8">
      <w:pPr>
        <w:widowControl w:val="0"/>
        <w:spacing w:after="0" w:line="240" w:lineRule="auto"/>
        <w:ind w:firstLine="708"/>
        <w:jc w:val="both"/>
        <w:rPr>
          <w:rFonts w:ascii="Times New Roman" w:hAnsi="Times New Roman" w:cs="Times New Roman"/>
          <w:sz w:val="24"/>
          <w:szCs w:val="24"/>
        </w:rPr>
      </w:pPr>
      <w:r w:rsidRPr="001B4FBD">
        <w:rPr>
          <w:rFonts w:ascii="Times New Roman" w:hAnsi="Times New Roman" w:cs="Times New Roman"/>
          <w:sz w:val="24"/>
          <w:szCs w:val="24"/>
        </w:rPr>
        <w:t>Объекты, финансируемые за счет средств муниципального бюджета города Евпатории, по которым были заключены контракты на проектно-изыскательские работы в декабре 2019 году:</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реконструкция здания МБУК «Евпаторийский центр культуры и досуга»;</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капитальный ремонт МБОУ «Гимназия №8» (корректировка проекта);</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капитальный ремонт МБОУ «Средняя школа №1» (корректировка проекта);</w:t>
      </w:r>
    </w:p>
    <w:p w:rsidR="00D34D83" w:rsidRPr="001B4FBD" w:rsidRDefault="00D34D83" w:rsidP="008E54B8">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капитальный ремонт МБОУ «Новоозерновская средняя школа».</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IV. ГРАДОСТРОИТЕЛЬНАЯ ДЕЯТЕЛЬНОСТЬ</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рамках реализации мероприятий федеральной целевой программы «Социально-экономическое развитие Республики Крым и г.Севастополя до 2022 года» утверждены Правила землепользования и застройки муниципального образования городской округ Евпатория (решение Евпаторийского городского совета от 22.02.2019 №1—86/2).</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протяжении 2019 года проводились работы по внесению изменений в Генеральный план. Проект с изменениями опубликован в Федеральной государственной системе территориального планирования и проходит процедуру согласования с федеральными органами власти и исполнительными органами государственной власти Республики Крым. Публичные слушания планируются провести весной 2020 года.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Организованы мероприятия по внесению изменений в текстовую часть Правил землепользования и застройки муниципального образования. Утверждение внесения изменений планируется в 2020 году.</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Проведено 4 электронных аукциона, по результатам которых заключены муниципальные контракты на подготовку 4 документаций по планировке территорий, земельные участки которых предназначены для предоставления льготным категориям граждан под индивидуальное жилищное строительство. 2 документации утверждены, 2 — ​проходят процедуру рассмотрения на публичных слушаниях.</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С целью осуществления градостроительной деятельности на территории городского округа Евпатория разработаны:</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схема типовых архитектурных решений нестационарных торговых объектов и подготовлены изменения в схему;</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архетипы по оборудованию улавливающих парковок;</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архетипы по оборудованию автомобильных стоянок;</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дизайн-проект общественной территории по адресу: ул. Некрасова, сквер «Ветеранов»;</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эскизные предложения по внешнему виду мемориальных досок Сомову, Федюкину;</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эскизное предложение привязки детского летнего кинотеатра в сквере им. Ленина;</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эскизное предложение по установке металлического ограждения общеобразовательного учреждения;</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эскизное предложение по обустройству пандуса в многоквартирных жилых домах;</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эскизные предложения по использованию земельного участка/недостроя «Дворца пионеров»;</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xml:space="preserve">- эскизное предложение по планировочной </w:t>
      </w:r>
      <w:bookmarkStart w:id="0" w:name="_GoBack"/>
      <w:bookmarkEnd w:id="0"/>
      <w:r w:rsidRPr="001B4FBD">
        <w:rPr>
          <w:rFonts w:ascii="Times New Roman" w:hAnsi="Times New Roman" w:cs="Times New Roman"/>
          <w:sz w:val="24"/>
          <w:szCs w:val="24"/>
        </w:rPr>
        <w:t>организации площади Фестивальная и площади Моряков для проведения праздничных городских мероприятий;</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эскизные предложение по организации автомобильных парковок/стоянок, по организации транспортной развязки;</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эскизные предложения по благоустройству скверов и общественных территорий;</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эскизные предложения по благоустройству придомовых территорий многоквартирных домов;</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схема дислокации общественных туалетов;</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схемы благоустройства и уборки придомовых территорий;</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эскизные предложения по размещению спортивных площадок.</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2019 год было подготовлено и принято:</w:t>
      </w:r>
    </w:p>
    <w:p w:rsidR="00D34D83" w:rsidRPr="001B4FBD" w:rsidRDefault="00D34D83" w:rsidP="001C23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- 87 постановлений об утверждении градостроительных планов земельных участков;</w:t>
      </w:r>
    </w:p>
    <w:p w:rsidR="00D34D83" w:rsidRPr="001B4FBD" w:rsidRDefault="00D34D83" w:rsidP="001C23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4FBD">
        <w:rPr>
          <w:rFonts w:ascii="Times New Roman" w:hAnsi="Times New Roman" w:cs="Times New Roman"/>
          <w:sz w:val="24"/>
          <w:szCs w:val="24"/>
        </w:rPr>
        <w:t>102 постановления об отнесении земельных участков к землям определенной категории;</w:t>
      </w:r>
    </w:p>
    <w:p w:rsidR="00D34D83" w:rsidRPr="001B4FBD" w:rsidRDefault="00D34D83" w:rsidP="001C23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- 252 постановления о присвоении адресов объектам адресации;</w:t>
      </w:r>
    </w:p>
    <w:p w:rsidR="00D34D83" w:rsidRPr="001B4FBD" w:rsidRDefault="00D34D83" w:rsidP="001C23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- 10 постановлений о разрешении временной установки гаражей;</w:t>
      </w:r>
    </w:p>
    <w:p w:rsidR="00D34D83" w:rsidRPr="001B4FBD" w:rsidRDefault="00D34D83" w:rsidP="001C23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1B4FBD">
        <w:rPr>
          <w:rFonts w:ascii="Times New Roman" w:hAnsi="Times New Roman" w:cs="Times New Roman"/>
          <w:sz w:val="24"/>
          <w:szCs w:val="24"/>
        </w:rPr>
        <w:t>28 решений о согласовании архитектурно-градостроительного облика объекта капитального строительства;</w:t>
      </w:r>
    </w:p>
    <w:p w:rsidR="00D34D83" w:rsidRPr="001B4FBD" w:rsidRDefault="00D34D83" w:rsidP="001C23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1B4FBD">
        <w:rPr>
          <w:rFonts w:ascii="Times New Roman" w:hAnsi="Times New Roman" w:cs="Times New Roman"/>
          <w:sz w:val="24"/>
          <w:szCs w:val="24"/>
        </w:rPr>
        <w:t>229 решений по вопросам переустройства и (или) перепланировки в многоквартирных домах;</w:t>
      </w:r>
    </w:p>
    <w:p w:rsidR="00D34D83" w:rsidRPr="001B4FBD" w:rsidRDefault="00D34D83" w:rsidP="001C23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- 34 решения о признании садового дома жилым или жилого дома садовым домом.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выдано:</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- 181 предписание на демонтаж объектов наружной рекламы и информации;</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- 74 разрешения на установку и эксплуатацию объектов наружной рекламы (за выдачу разрешений поступило в бюджет 370</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000,00 руб. государственной пошлины);</w:t>
      </w:r>
    </w:p>
    <w:p w:rsidR="00D34D83" w:rsidRPr="001B4FBD" w:rsidRDefault="00D34D83" w:rsidP="0045450C">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- 137 согласований на установку информационных конструкций.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Утвержден 21 нормативный правовой акт в сфере градостроительной деятельности.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Проведено 11 публичных слушаний по рассмотрению градостроительной документации, по вопросам предоставления разрешений на условно разрешенный вид использования земельного участка и отклонении от разрешенных параметров строительства.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Проведено 4 заседания градостроительного совета, 13 заседаний межведомственной комиссии по использованию жилищного фонда муниципального образования.</w:t>
      </w:r>
    </w:p>
    <w:p w:rsidR="00D34D83" w:rsidRDefault="00D34D83" w:rsidP="00047DBA">
      <w:pPr>
        <w:jc w:val="center"/>
        <w:rPr>
          <w:rFonts w:ascii="Times New Roman" w:hAnsi="Times New Roman" w:cs="Times New Roman"/>
          <w:sz w:val="24"/>
          <w:szCs w:val="24"/>
        </w:rPr>
      </w:pPr>
    </w:p>
    <w:p w:rsidR="00D34D83" w:rsidRPr="00047DBA" w:rsidRDefault="00D34D83" w:rsidP="00047DBA">
      <w:pPr>
        <w:jc w:val="center"/>
        <w:rPr>
          <w:rFonts w:ascii="Times New Roman" w:hAnsi="Times New Roman" w:cs="Times New Roman"/>
          <w:sz w:val="24"/>
          <w:szCs w:val="24"/>
        </w:rPr>
      </w:pPr>
      <w:r w:rsidRPr="001B4FBD">
        <w:rPr>
          <w:rFonts w:ascii="Times New Roman" w:hAnsi="Times New Roman" w:cs="Times New Roman"/>
          <w:b/>
          <w:bCs/>
          <w:sz w:val="24"/>
          <w:szCs w:val="24"/>
        </w:rPr>
        <w:t>V. ГОРОДСКОЕ ХОЗЯЙСТВО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произведено содержание 9</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487 м² дорожного покрытия в общем на сумму 10,269 млн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Установлено: 163 дорожных знака; 122 дорожных ограждения; нанесено 1401,60 м² разметки пешеходных переходов, 10,364 м² разметки «Дети»; заменено 1066 ламп освещения; осуществлен ремонт 15 светофорных светодиодных матриц; произведено программирование 5 светофорных объектов на опцию «левый поворот»; произведен ремонт светофорного объекта по пр. Победы близ СШ №11.</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Подготовлен план работ по ремонту улиц и дорог города на 2019—2021 годы. План составлен с максимальным учетом обращений граждан по вопросам ремонта улично-дорожной сети города и поселков муниципального образования. В перечне — ​улицы, имеющие наибольший «отрицательный рейтинг», т.е. по которым наибольшее количество жалоб. В частности, это ул. Хозяйственная, ул. Героев Десанта, ул. Пролетарская, ул. Тучина, ул. Миллера, пр-д Межквартальный, ул. Просмушкиных, объездная дорога от Новоселовского шоссе до станции Товарная, ул. Комиссаровская, проезд от ул. Полупанова до ул. Аллея Дружбы, ул. Ефета, ул. Тухачевского, ул. Белогубца, ул. Репина, ул. Татарская, ул. Башенная, ул. С.Перовской, ул. Косицкого, ул. Чекиста Галушкина, ул.М.Тореза, ул.Островского, ул. Первомайская, ул.Огородническая, ул.Пестеля, ул.В.Коробкова, ул.Иванова, пер.Коленный, ул.Сырникова в пгт. Мирный, проспект Мира в пгт. Мирный, ул.Гайдара в пгт. Заозерное, ул.Чкалова в пгт. Заозерное, ул. О.Кошевого в пгт. Заозерное. План работ по дорожной деятельности согласован Министерством транспорта Республики Крым.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Бюджетом Республики Крым выделена субсидия в размере 18,677 млн руб. на ремонт в 2019 году в городе Евпатории 5 улиц (ул. Демышева, Серова, Караимская, Льва Толстого, Хлебная). В настоящее время проведены ремонтные работы в полном объеме.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Начаты активные работы в рамках Федеральной целевой программы развития Крыма и города Севастополя, которой предусмотрена реконструкция городских улиц (38 объектов). По запланированным объектам выполнена проектно-сметная документация, прошедшая государственную экспертизу. Реконструкция включает в себя замену дорожного покрытия, тротуаров, наружного освещения, ремонт и перенос коммуникаций. В 2019 году продолжены уже начатые в 2018 году работы по реконструкции улично-дорожной сети на ул.60 лет ВЛКСМ и Демышева. Начаты работы по реконструкции дорожного покрытия Аллеи Дружбы (т.н. контракты, заключенные по 2 лоту) и Лесного шоссе. На реконструируемых участках дорожного покрытия ул. Демышева и Аллеи Дружбы уложен первый слой асфальта, в июле по Аллее Дружбы восстановлено движение автотранспорта.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были выполнены работы по благоустройству дворов, победивших в рамках муниципальной программы «Марафон «Чистый двор — ​уютный город». Комплексное благоустройство выполнено на 2 дворовых территориях на сумму — ​7 млн руб. (ул. Чапаева, 69; ул.60 лет Октября, 22, 28);</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Установлены игровые площадки по адресам: ул. 60 лет Октября, 26, 22; ул. 9 Мая, 94; ул. Салтаба (микрорайон Спутник 1); ул. Интернациональная, 99, 127, 128, 130; ул. Некрасова, 51, 53; ул. Некрасова, 86; пр. Победы, 10А, 60, 70, 10Б, 43, 47, 43, 47; ул. АшикУмера (мкрн Исмаил-бей); ул. Г. Десантников, 11, 13, (пгт. Новоозерное), ул. Сырникова, 18, 19, 20, 21, ул. Школьная, 14 (пгт Мирный), ул. Крупской, 60; ул. Токарева, 67.</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Приобретены и установлены игровые элементы для детских игровых площадок по адресам: ул. Луговая, 15; ул. Советская, 10; ул. Интернациональная, 121; ул. Крупской, 60; ул. Некрасова, 102, 104; ул. Фрунзе, 40, 30; пгт Мирный, пр. Мира, 4; ул.60 лет ВЛКСМ, 12, 14; ул.9 Мая, 98.</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Проведено благоустройство (текущий ремонт) асфальтобетонного покрытия внутридворовых проездов многоквартирный домов, общая стоимость работ 13 млн руб. (по адресам: ул. Перекопская, 15А; ул. Линейная, 6; ул. Конституции, 30; ул.60 лет Октября, 20; ул.60 лет Октября, 22; ул.60 лет Октября, 26; ул. Интернациональная, 132, 145, 147; ул.60 лет ВЛКСМ, 32, 36; ул. Полупанова, 42, 40, 38, 78; пр. Советский, 1; ул. Советская, 4, 6, 8; пр. Победы, 23, 23А, 25, 27, 48, 40; ул. Демышева, 119; ул. Фрунзе, 40, 34; пр. Ленина, 5; ул. Пушкина, 16), пгт Заозёрное;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рамках федеральной программы «Формирование современной городской среды» был проведён капитальный ремонт 3 скверов и 1 общественной территории на сумму 82,5 млн руб. (сквер Ветеранов; сквер Кирова; сквер Героев Чернобыльцев; общественная территория в пгт Заозерное).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При этом проведены работы по озеленению:</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посадка деревьев — ​410 шт. (деревья лиственных пород — ​250 шт. и деревьев хвойных пород — ​160 шт.), кустарников –1590 шт., роз — ​250 шт., цветов — ​107</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335 тыс. шт.;</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санитарная обрезка деревьев — ​464 (шт.);</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стрижка живой изгороди — ​52393(м2) ;</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выкашивание газонов — ​38694 (100 м2) .</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В 2019 году произведен капитальный ремонт 19 многоквартирных домов: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Капитальный ремонт кровель:</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1) ул. Сытникова, 8;</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2) ул. 60 лет Октября, 28;</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3) ул. Некрасова, 45;</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4) ул. Тимирязева, 27а;</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5) ул. Полупанова, 76;</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6) ул. Чапаева, 45;</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Капитальный ремонт фасадов:</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ул. Полупанова, 76</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Капитальный ремонт лифтов:</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1) ул. Интернациональная, д.</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143 — ​проведена замена 1-го пассажирского лифта;</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2) пр. Победы, д.</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45 — ​проведена замена 2-х пассажирских лифтов;</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3) ул. Дм. Ульянова, д.</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1а — ​проведена замена 2-х пассажирских лифтов;</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4) пр. Ленина, д.</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52 — ​проведена замена 3-х пассажирских лифтов;</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5) пр. Ленина, д.</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56 — ​проведена замена 7-ми пассажирских лифтов;</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6) пр. Победы, д.</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37 — ​проведена замена 2-х пассажирских лифтов;</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7) пр. Победы, д.</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35 — ​проведена замена 2-х пассажирских лифтов;</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8) ул. Некрасова, д.</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59А — ​проведена замена 2-х пассажирских лифтов;</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9) ул. Демышева, д.</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115 — ​проведена замена 2-х пассажирских лифтов;</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10) пр. Ленина, д.</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54 — ​проведена замена 3-х пассажирских лифтов;</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11) пр. Победы, д.</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64 — ​проведена замена 4-х пассажирских лифтов;</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12) ул. Демышева, д.</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119 — ​проведена замена 2-х пассажирских лифтов;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течение 2019 года проведено: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- 3 открытых конкурса по отбору управляющих организаций для управления многоквартирными домами на территории городского округа Евпатория по 3-м многоквартирным домам.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- 2 встречи-совещания под председательством сотрудников Инспекции по жилищному надзору Республики Крым и главы администрации города Евпатории с руководителями ТСН (ТСЖ), ЖСК и председателями советов многоквартирных домов по вопросам внесений данных в ГИС ЖКХ, капитального ремонта домов, управления домом, контроля за оказанием жилищно-коммунальных услуг и благоустройства города.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- 9 встреч-совещаний главы администрации города Евпатории с приглашением представителей общественности, председателей советов МКД, руководителями ТСН (ТСЖ), ЖСК, ТОС, управляющих организаций по вопросам выполнения поручений Главы Республики Крым.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завершены работы по капитальному ремонту общежития по адресу ул. Крупской, 36. Выполнен капитальный ремонт двух подъездов с устройством системы освещения. Стоимость работ составила 908,890 тыс.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2020 году в г.Евпатория планируется выполнение капитального ремонта 17 многоквартирных домов:</w:t>
      </w:r>
    </w:p>
    <w:p w:rsidR="00D34D83" w:rsidRPr="001B4FBD" w:rsidRDefault="00D34D83" w:rsidP="001C230C">
      <w:pPr>
        <w:pStyle w:val="ListParagraph"/>
        <w:widowControl w:val="0"/>
        <w:numPr>
          <w:ilvl w:val="0"/>
          <w:numId w:val="1"/>
        </w:numPr>
        <w:tabs>
          <w:tab w:val="left" w:pos="420"/>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пр. Советский, 6 (ремонт кровли, ремонт фасада);</w:t>
      </w:r>
    </w:p>
    <w:p w:rsidR="00D34D83" w:rsidRPr="001B4FBD" w:rsidRDefault="00D34D83" w:rsidP="001C230C">
      <w:pPr>
        <w:pStyle w:val="ListParagraph"/>
        <w:widowControl w:val="0"/>
        <w:numPr>
          <w:ilvl w:val="0"/>
          <w:numId w:val="1"/>
        </w:numPr>
        <w:tabs>
          <w:tab w:val="left" w:pos="420"/>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Гоголя, 46 (ремонт кровли, ремонт фасада, ремонт фундамента, ремонт подвального помещения);</w:t>
      </w:r>
    </w:p>
    <w:p w:rsidR="00D34D83" w:rsidRPr="001B4FBD" w:rsidRDefault="00D34D83" w:rsidP="001C230C">
      <w:pPr>
        <w:pStyle w:val="ListParagraph"/>
        <w:widowControl w:val="0"/>
        <w:numPr>
          <w:ilvl w:val="0"/>
          <w:numId w:val="1"/>
        </w:numPr>
        <w:tabs>
          <w:tab w:val="left" w:pos="420"/>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Дм. Ульянова, 4 (ремонт кровли, ремонт фасада);</w:t>
      </w:r>
    </w:p>
    <w:p w:rsidR="00D34D83" w:rsidRPr="001B4FBD" w:rsidRDefault="00D34D83" w:rsidP="001C230C">
      <w:pPr>
        <w:pStyle w:val="ListParagraph"/>
        <w:widowControl w:val="0"/>
        <w:numPr>
          <w:ilvl w:val="0"/>
          <w:numId w:val="1"/>
        </w:numPr>
        <w:tabs>
          <w:tab w:val="left" w:pos="420"/>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Дувановская, 17/2 (ремонт кровли, ремонт фасада);</w:t>
      </w:r>
    </w:p>
    <w:p w:rsidR="00D34D83" w:rsidRPr="001B4FBD" w:rsidRDefault="00D34D83" w:rsidP="001C230C">
      <w:pPr>
        <w:pStyle w:val="ListParagraph"/>
        <w:widowControl w:val="0"/>
        <w:numPr>
          <w:ilvl w:val="0"/>
          <w:numId w:val="1"/>
        </w:numPr>
        <w:tabs>
          <w:tab w:val="left" w:pos="420"/>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Казаса,9 (ремонт кровли, ремонт фасада);</w:t>
      </w:r>
    </w:p>
    <w:p w:rsidR="00D34D83" w:rsidRPr="001B4FBD" w:rsidRDefault="00D34D83" w:rsidP="001C230C">
      <w:pPr>
        <w:pStyle w:val="ListParagraph"/>
        <w:widowControl w:val="0"/>
        <w:numPr>
          <w:ilvl w:val="0"/>
          <w:numId w:val="1"/>
        </w:numPr>
        <w:tabs>
          <w:tab w:val="left" w:pos="420"/>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Кирова, 5 (ремонт фундаментов, ремонт подвального помещения);</w:t>
      </w:r>
    </w:p>
    <w:p w:rsidR="00D34D83" w:rsidRPr="001B4FBD" w:rsidRDefault="00D34D83" w:rsidP="001C230C">
      <w:pPr>
        <w:pStyle w:val="ListParagraph"/>
        <w:widowControl w:val="0"/>
        <w:numPr>
          <w:ilvl w:val="0"/>
          <w:numId w:val="1"/>
        </w:numPr>
        <w:tabs>
          <w:tab w:val="left" w:pos="420"/>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Матвеева, 5 (ремонт кровли, ремонт фасада);</w:t>
      </w:r>
    </w:p>
    <w:p w:rsidR="00D34D83" w:rsidRPr="001B4FBD" w:rsidRDefault="00D34D83" w:rsidP="001C230C">
      <w:pPr>
        <w:pStyle w:val="ListParagraph"/>
        <w:widowControl w:val="0"/>
        <w:numPr>
          <w:ilvl w:val="0"/>
          <w:numId w:val="1"/>
        </w:numPr>
        <w:tabs>
          <w:tab w:val="left" w:pos="420"/>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Матвеева, 18/3 (ремонт кровли, ремонт фасада, ремонт фундамента, ремонт подвального помещения);</w:t>
      </w:r>
    </w:p>
    <w:p w:rsidR="00D34D83" w:rsidRPr="001B4FBD" w:rsidRDefault="00D34D83" w:rsidP="001C230C">
      <w:pPr>
        <w:pStyle w:val="ListParagraph"/>
        <w:widowControl w:val="0"/>
        <w:numPr>
          <w:ilvl w:val="0"/>
          <w:numId w:val="1"/>
        </w:numPr>
        <w:tabs>
          <w:tab w:val="left" w:pos="420"/>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Полупанова, 70 (ремонт кровли, ремонт фасада);</w:t>
      </w:r>
    </w:p>
    <w:p w:rsidR="00D34D83" w:rsidRPr="001B4FBD" w:rsidRDefault="00D34D83" w:rsidP="001C230C">
      <w:pPr>
        <w:pStyle w:val="ListParagraph"/>
        <w:widowControl w:val="0"/>
        <w:numPr>
          <w:ilvl w:val="0"/>
          <w:numId w:val="1"/>
        </w:numPr>
        <w:tabs>
          <w:tab w:val="left" w:pos="426"/>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Пушкина, 16 (ремонт фундаментов, ремонт подвального помещения);</w:t>
      </w:r>
    </w:p>
    <w:p w:rsidR="00D34D83" w:rsidRPr="001B4FBD" w:rsidRDefault="00D34D83" w:rsidP="001C230C">
      <w:pPr>
        <w:pStyle w:val="ListParagraph"/>
        <w:widowControl w:val="0"/>
        <w:numPr>
          <w:ilvl w:val="0"/>
          <w:numId w:val="1"/>
        </w:numPr>
        <w:tabs>
          <w:tab w:val="left" w:pos="426"/>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Революции, 34/11(ремонт кровли, ремонт фасада);</w:t>
      </w:r>
    </w:p>
    <w:p w:rsidR="00D34D83" w:rsidRPr="001B4FBD" w:rsidRDefault="00D34D83" w:rsidP="001C230C">
      <w:pPr>
        <w:pStyle w:val="ListParagraph"/>
        <w:widowControl w:val="0"/>
        <w:numPr>
          <w:ilvl w:val="0"/>
          <w:numId w:val="1"/>
        </w:numPr>
        <w:tabs>
          <w:tab w:val="left" w:pos="426"/>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Революции, 37 (ремонт кровли, ремонт фасада);</w:t>
      </w:r>
    </w:p>
    <w:p w:rsidR="00D34D83" w:rsidRPr="001B4FBD" w:rsidRDefault="00D34D83" w:rsidP="001C230C">
      <w:pPr>
        <w:pStyle w:val="ListParagraph"/>
        <w:widowControl w:val="0"/>
        <w:numPr>
          <w:ilvl w:val="0"/>
          <w:numId w:val="1"/>
        </w:numPr>
        <w:tabs>
          <w:tab w:val="left" w:pos="426"/>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Революции, 39/23/1 (ремонт кровли, ремонт фасада);</w:t>
      </w:r>
    </w:p>
    <w:p w:rsidR="00D34D83" w:rsidRPr="001B4FBD" w:rsidRDefault="00D34D83" w:rsidP="001C230C">
      <w:pPr>
        <w:pStyle w:val="ListParagraph"/>
        <w:widowControl w:val="0"/>
        <w:numPr>
          <w:ilvl w:val="0"/>
          <w:numId w:val="1"/>
        </w:numPr>
        <w:tabs>
          <w:tab w:val="left" w:pos="426"/>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Революции, 42/3—5/1 (ремонт кровли, ремонт фасада, ремонт фундамента, ремонт подвального помещения);</w:t>
      </w:r>
    </w:p>
    <w:p w:rsidR="00D34D83" w:rsidRPr="001B4FBD" w:rsidRDefault="00D34D83" w:rsidP="001C230C">
      <w:pPr>
        <w:pStyle w:val="ListParagraph"/>
        <w:widowControl w:val="0"/>
        <w:numPr>
          <w:ilvl w:val="0"/>
          <w:numId w:val="1"/>
        </w:numPr>
        <w:tabs>
          <w:tab w:val="left" w:pos="426"/>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Тучина, 1/2 (ремонт кровли, ремонт фасада);</w:t>
      </w:r>
    </w:p>
    <w:p w:rsidR="00D34D83" w:rsidRPr="001B4FBD" w:rsidRDefault="00D34D83" w:rsidP="001C230C">
      <w:pPr>
        <w:pStyle w:val="ListParagraph"/>
        <w:widowControl w:val="0"/>
        <w:numPr>
          <w:ilvl w:val="0"/>
          <w:numId w:val="1"/>
        </w:numPr>
        <w:tabs>
          <w:tab w:val="left" w:pos="426"/>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Полупанова, 76 (ремонт внутридомовых инженерных сетей);</w:t>
      </w:r>
    </w:p>
    <w:p w:rsidR="00D34D83" w:rsidRPr="001B4FBD" w:rsidRDefault="00D34D83" w:rsidP="001C230C">
      <w:pPr>
        <w:pStyle w:val="ListParagraph"/>
        <w:widowControl w:val="0"/>
        <w:numPr>
          <w:ilvl w:val="0"/>
          <w:numId w:val="1"/>
        </w:numPr>
        <w:tabs>
          <w:tab w:val="left" w:pos="426"/>
        </w:tabs>
        <w:spacing w:after="0" w:line="240" w:lineRule="auto"/>
        <w:ind w:left="0" w:hanging="11"/>
        <w:jc w:val="both"/>
        <w:rPr>
          <w:rFonts w:ascii="Times New Roman" w:hAnsi="Times New Roman" w:cs="Times New Roman"/>
          <w:sz w:val="24"/>
          <w:szCs w:val="24"/>
        </w:rPr>
      </w:pPr>
      <w:r w:rsidRPr="001B4FBD">
        <w:rPr>
          <w:rFonts w:ascii="Times New Roman" w:hAnsi="Times New Roman" w:cs="Times New Roman"/>
          <w:sz w:val="24"/>
          <w:szCs w:val="24"/>
        </w:rPr>
        <w:t>ул. Революции, 33/20 (ремонт внутридомовых инженерных сетей).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Данные работы проводятся за счет средств бюджета Республики Крым и средств собственников помещений в МКД.</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Перевозки пассажиров осуществляются по 2 круглогодичным (№1, №3) и 2 сезонным (№2, №4) трамвайным маршрутам и по 8 автобусным маршрутам №№1, 2, 3, 4, 6, 8, 9, 17.</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Отремонтированы и оборудованы автопавильонами за счет перестановок 18 остановочных пунктов.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Произведен ремонт, обустройство карманов, посадочных площадок на 18 остановочных пунктах.</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Проведена замена рельсошпальной решетки на участках трамвайных маршрутов: кольцо ул. Интернациональная, кривая ул. Полупанова-Маяковского; проведен ремонт и наружная покраска вагонов Гота 5 ед;</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Проведены ремонты контактной сети на разъездах по ул. Кирова, ул. Московская. Лиман, Прибой, ул. Полупанова, ул. Караева, мойнакское кольцо.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Установлены дорожные знаки «Остановка автобуса и (или) троллейбуса» на всех автобусных остановках.</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Продолжается реализация инвестиционных предложений по обустройству остановочных пунктов общественного транспорта автопавильонами «Умная остановка». В 2019 году обустроено 32 остановки.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Общая площадь зеленых насаждений на территории муниципального образования составляет 524</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749,7 м2.</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 выполнены следующие работы (на сумму 34</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148</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389.00 руб.):</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посадка кустарников — ​560 (шт.);</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посадка деревьев лиственных и хвойных пород –111 (шт.);</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посадка роз — ​250 (шт.);</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посадка цветов — ​103.862 тыс. (шт.);</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санитарная обрезка деревьев — ​464 (шт.);</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стрижка живой изгороди — ​52392,5 (м2) ;</w:t>
      </w:r>
    </w:p>
    <w:p w:rsidR="00D34D83" w:rsidRPr="001B4FBD" w:rsidRDefault="00D34D83" w:rsidP="001B4FBD">
      <w:pPr>
        <w:widowControl w:val="0"/>
        <w:spacing w:after="0" w:line="240" w:lineRule="auto"/>
        <w:jc w:val="both"/>
        <w:rPr>
          <w:rFonts w:ascii="Times New Roman" w:hAnsi="Times New Roman" w:cs="Times New Roman"/>
          <w:sz w:val="24"/>
          <w:szCs w:val="24"/>
        </w:rPr>
      </w:pPr>
      <w:r w:rsidRPr="001B4FBD">
        <w:rPr>
          <w:rFonts w:ascii="Times New Roman" w:hAnsi="Times New Roman" w:cs="Times New Roman"/>
          <w:sz w:val="24"/>
          <w:szCs w:val="24"/>
        </w:rPr>
        <w:t>- выкашивание газонов — ​1314336 (м²).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Вывоз твердых коммунальных отходов осуществляется региональным оператором ГУП РК «Крымэкоресурсы». Перевозку производит МУП «ЭКОГРАД». Размещение твердых коммунальных отходов осуществляется на полигоне «Евпатория» на территории Сакского района. В городе в наличии есть 36 единиц техники: 27 мусоровозов, 8 самосвалов и 1 трактор.</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Из всего количества мест временного хранения отходов 38,1% площадок расположены в многоквартирном жилом фонде и на территориях общего пользования (190 ед.), 61,9% площадок расположены на закрытых территориях предприятий, организаций и учреждений (320 ед.)</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Администрацией города сформирован и опубликован на сайте реестр мест размещения контейнерных площадок на территориях общего пользования (218 ед.). Из числа упомянутых площадок 70,3% имеют твердое покрытие, 52,9% оборудованы ограждением, 35,1% площадок имеют кровлю.</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площадках с установкой от 2 до 5 контейнеров расположено 874 контейнера емкостью 1,1 м3. В мусорокамерах 9-ти этажных жилых домов — ​130 ед. объемом 0,75 м3, крупногабаритных контейнеров объемом 5,0 м3—18 ед.</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проведено обустройство бетонным основанием и ограждениями из металлопрофиля 33 контейнерных площадки, расположенные в многоквартирном жилом фонде и территориях общего пользования (всего оборудовано 95 площадок). Бюджетом муниципального образования на 2019 год на эти цели было предусмотрено 3 млн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территории городского округа расположено 384 объекта улично-дорожной сети.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границах округа общая протяженность дорог общего пользования местного значения составляет 284 км, из которых 83% дорог с твердым покрытием.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Работы по санитарной очистке улично-дорожной сети выполняет муниципальное бюджетное учреждение «Порядок».</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Регулярно убираются 80 улиц и 1 площадь. Площадь ежедневной уборки (ежедневное ручное подметание) составляет 573</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000 м2.</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Учитывая ограниченность бюджетного финансирования, в 2019 году осуществляется привлечение к выполнению работ по ручной уборке территории общего пользования сторонних исполнителей, на договорной основе, на что были выделены средства муниципального бюджета. Отработана схема уборки, в соответствии с которой МБУ «Порядок» привлекает за счет выделяемого финансирования предприятия и организации в качестве подрядчиков по контрактам на уборку городских территорий, сокращая при этом организационные расходы. Общее количество лиц, убирающих городские территории, доведено до 200 человек, что позволило осуществить постоянный эффективный контроль за санитарным состоянием территории муниципального образования. Привлечение предприятий-подрядчиков, определенных на конкурсной основе, позволило существенно сэкономить бюджетные средства, при этом обеспечив надлежащее санитарное содержание территории городского округа.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Механизированная уборка проводится по графику ежедневно, убираемая площадь составляет 45</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000 м2.</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VI. ЗЕМЕЛЬНЫЕ И ИМУЩЕСТВЕННЫЕ ОТНОШЕНИЯ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с целью наполнения Единого государственного реестра прав сведениями об объектах недвижимого имущества, расположенных на территории муниципального образования, проведены:</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1. Регистрация права собственности муниципального образования, вещного права, ограничений (обременений) на первоочередные объекты недвижимого имущества на 30 нежилых помещений.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2. Продолжаются работы по регистрации объектов недвижимого имущества муниципального образования, переданных в аренду и планируемых на приватизацию в 2020 г.</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3. Регистрация права муниципального образования на жилые помещения, переходящие в собственность граждан, на основании договоров передачи жилых помещений в собственность граждан в порядке бесплатной приватизации в количестве 50 объектов.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4. Заказаны кадастровые работы по изготовлению технических планов в отношении 224 жилых муниципальных помещений и 76 нежилых помещений (зданий), необходимых для постановки на кадастровый учет и государственной регистрации права муниципального образования.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Реестр муниципального имущества включены:</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 земельные участки </w:t>
      </w:r>
      <w:r>
        <w:rPr>
          <w:rFonts w:ascii="Times New Roman" w:hAnsi="Times New Roman" w:cs="Times New Roman"/>
          <w:sz w:val="24"/>
          <w:szCs w:val="24"/>
        </w:rPr>
        <w:t>-</w:t>
      </w:r>
      <w:r w:rsidRPr="001B4FBD">
        <w:rPr>
          <w:rFonts w:ascii="Times New Roman" w:hAnsi="Times New Roman" w:cs="Times New Roman"/>
          <w:sz w:val="24"/>
          <w:szCs w:val="24"/>
        </w:rPr>
        <w:t xml:space="preserve"> всего 2825 объектов, из них по</w:t>
      </w:r>
      <w:r>
        <w:rPr>
          <w:rFonts w:ascii="Times New Roman" w:hAnsi="Times New Roman" w:cs="Times New Roman"/>
          <w:sz w:val="24"/>
          <w:szCs w:val="24"/>
        </w:rPr>
        <w:t xml:space="preserve">ставлено на кадастровый учет - </w:t>
      </w:r>
      <w:r w:rsidRPr="001B4FBD">
        <w:rPr>
          <w:rFonts w:ascii="Times New Roman" w:hAnsi="Times New Roman" w:cs="Times New Roman"/>
          <w:sz w:val="24"/>
          <w:szCs w:val="24"/>
        </w:rPr>
        <w:t>2269 объектов, на 740 зарегистрировано право муниципальной собственности;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 здания, сооружения </w:t>
      </w:r>
      <w:r>
        <w:rPr>
          <w:rFonts w:ascii="Times New Roman" w:hAnsi="Times New Roman" w:cs="Times New Roman"/>
          <w:sz w:val="24"/>
          <w:szCs w:val="24"/>
        </w:rPr>
        <w:t>-</w:t>
      </w:r>
      <w:r w:rsidRPr="001B4FBD">
        <w:rPr>
          <w:rFonts w:ascii="Times New Roman" w:hAnsi="Times New Roman" w:cs="Times New Roman"/>
          <w:sz w:val="24"/>
          <w:szCs w:val="24"/>
        </w:rPr>
        <w:t xml:space="preserve"> всего 688 объектов, их них по</w:t>
      </w:r>
      <w:r>
        <w:rPr>
          <w:rFonts w:ascii="Times New Roman" w:hAnsi="Times New Roman" w:cs="Times New Roman"/>
          <w:sz w:val="24"/>
          <w:szCs w:val="24"/>
        </w:rPr>
        <w:t xml:space="preserve">ставлено на кадастровый учет - </w:t>
      </w:r>
      <w:r w:rsidRPr="001B4FBD">
        <w:rPr>
          <w:rFonts w:ascii="Times New Roman" w:hAnsi="Times New Roman" w:cs="Times New Roman"/>
          <w:sz w:val="24"/>
          <w:szCs w:val="24"/>
        </w:rPr>
        <w:t>562 объекта, на 401 объект зарегистрировано право муниципальной собственности;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 жилые помещения </w:t>
      </w:r>
      <w:r>
        <w:rPr>
          <w:rFonts w:ascii="Times New Roman" w:hAnsi="Times New Roman" w:cs="Times New Roman"/>
          <w:sz w:val="24"/>
          <w:szCs w:val="24"/>
        </w:rPr>
        <w:t>-</w:t>
      </w:r>
      <w:r w:rsidRPr="001B4FBD">
        <w:rPr>
          <w:rFonts w:ascii="Times New Roman" w:hAnsi="Times New Roman" w:cs="Times New Roman"/>
          <w:sz w:val="24"/>
          <w:szCs w:val="24"/>
        </w:rPr>
        <w:t xml:space="preserve"> всего 2156 объектов, из них по</w:t>
      </w:r>
      <w:r>
        <w:rPr>
          <w:rFonts w:ascii="Times New Roman" w:hAnsi="Times New Roman" w:cs="Times New Roman"/>
          <w:sz w:val="24"/>
          <w:szCs w:val="24"/>
        </w:rPr>
        <w:t xml:space="preserve">ставлено на кадастровый учет - </w:t>
      </w:r>
      <w:r w:rsidRPr="001B4FBD">
        <w:rPr>
          <w:rFonts w:ascii="Times New Roman" w:hAnsi="Times New Roman" w:cs="Times New Roman"/>
          <w:sz w:val="24"/>
          <w:szCs w:val="24"/>
        </w:rPr>
        <w:t>603 объекта, на 294 объекта зарегистрировано право муниципальной собственности;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 нежилые помещения </w:t>
      </w:r>
      <w:r>
        <w:rPr>
          <w:rFonts w:ascii="Times New Roman" w:hAnsi="Times New Roman" w:cs="Times New Roman"/>
          <w:sz w:val="24"/>
          <w:szCs w:val="24"/>
        </w:rPr>
        <w:t>-</w:t>
      </w:r>
      <w:r w:rsidRPr="001B4FBD">
        <w:rPr>
          <w:rFonts w:ascii="Times New Roman" w:hAnsi="Times New Roman" w:cs="Times New Roman"/>
          <w:sz w:val="24"/>
          <w:szCs w:val="24"/>
        </w:rPr>
        <w:t xml:space="preserve"> всего 572 объекта, из них по</w:t>
      </w:r>
      <w:r>
        <w:rPr>
          <w:rFonts w:ascii="Times New Roman" w:hAnsi="Times New Roman" w:cs="Times New Roman"/>
          <w:sz w:val="24"/>
          <w:szCs w:val="24"/>
        </w:rPr>
        <w:t xml:space="preserve">ставлено на кадастровый учет - </w:t>
      </w:r>
      <w:r w:rsidRPr="001B4FBD">
        <w:rPr>
          <w:rFonts w:ascii="Times New Roman" w:hAnsi="Times New Roman" w:cs="Times New Roman"/>
          <w:sz w:val="24"/>
          <w:szCs w:val="24"/>
        </w:rPr>
        <w:t>293 объекта, на 94 объекта зарегистрировано право муниципальной собственности;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движимое муниципальное имущество — ​64 объекта учета.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выдано 1066 выписок из Реестра муниципального имущества.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Имеется задолженность по 651 договору аренды земельного участка на сумму 274</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917,37 тыс.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С целью уменьшения задолженности проводится претензионно-исковая работа.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должникам направлено 198 претензий на сумму 210</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833,81 тыс. руб. Оплачено по претензиям 12</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489,53 тыс.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Арбитражный суд Республики Крым и суды общей юрисдикции предъявлено 26 исковых заявлений о взыскании задолженности по арендной плате за земельные участки на общую сумму 108</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470,61 тыс. руб. и 14 судебных приказов на общую сумму 1</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274,39 тыс.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По состоянию на 01.01.2020 в производстве Арбитражных судов и судов общей юрисдикции рассматривается 17 исковых заявлений о взыскании задолженности по арендной плате за земельные участки на общую сумму 93</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434,72 тыс. руб. Для принудительного взыскания в ФССП направлено 36 исполнительных листа на общую сумму 55</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668,20 тыс. руб., имеется 14 судебных актов о взыскании задолженности по которым судами исполнительные листы не выданы на сумму 12</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534,60 тыс.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Оплачено по исполнительным листам 4</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149,74 тыс.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С целью снижения задолженности и обеспечения взимания арендной платы за имущество проводится претензионная работа. Направлено 24 претензии на сумму 6</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754,47 тыс.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С учетом добровольно погашенной суммы фактическая задолженность на 01.01.2020 составляет 1</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757, 630 тыс.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Всего за 2019 год в Арбитражный суд Республики Крым и суды общей юрисдикции предъявлено 2 иска о взыскании задолженности по арендной плате на общую сумму 857,39 тыс.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Совет Министров Республики Крым Постановлением от 19.03.2018 № 119 утвердил «Порядок включения бесхозяйного имущества, находящегося на территории Республики Крым, в Реестр имущества, находящегося в собственности Республики Крым». Во исполнение вышеуказанного Порядка выявлено бесхозяйное недвижимое имущество на территории муниципального образования, перечни бесхозяйного имущества направлены:</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1. В Министерство топлива и энергетики Республики Крым </w:t>
      </w:r>
      <w:r>
        <w:rPr>
          <w:rFonts w:ascii="Times New Roman" w:hAnsi="Times New Roman" w:cs="Times New Roman"/>
          <w:sz w:val="24"/>
          <w:szCs w:val="24"/>
        </w:rPr>
        <w:t>-</w:t>
      </w:r>
      <w:r w:rsidRPr="001B4FBD">
        <w:rPr>
          <w:rFonts w:ascii="Times New Roman" w:hAnsi="Times New Roman" w:cs="Times New Roman"/>
          <w:sz w:val="24"/>
          <w:szCs w:val="24"/>
        </w:rPr>
        <w:t xml:space="preserve"> ​в отношении инженерных сетей </w:t>
      </w:r>
      <w:r>
        <w:rPr>
          <w:rFonts w:ascii="Times New Roman" w:hAnsi="Times New Roman" w:cs="Times New Roman"/>
          <w:sz w:val="24"/>
          <w:szCs w:val="24"/>
        </w:rPr>
        <w:t>-</w:t>
      </w:r>
      <w:r w:rsidRPr="001B4FBD">
        <w:rPr>
          <w:rFonts w:ascii="Times New Roman" w:hAnsi="Times New Roman" w:cs="Times New Roman"/>
          <w:sz w:val="24"/>
          <w:szCs w:val="24"/>
        </w:rPr>
        <w:t xml:space="preserve"> ​объектов электро-, газоснабжения.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2. В Министерство жилищно-коммунального хозяйства Республики Крым </w:t>
      </w:r>
      <w:r>
        <w:rPr>
          <w:rFonts w:ascii="Times New Roman" w:hAnsi="Times New Roman" w:cs="Times New Roman"/>
          <w:sz w:val="24"/>
          <w:szCs w:val="24"/>
        </w:rPr>
        <w:t>-</w:t>
      </w:r>
      <w:r w:rsidRPr="001B4FBD">
        <w:rPr>
          <w:rFonts w:ascii="Times New Roman" w:hAnsi="Times New Roman" w:cs="Times New Roman"/>
          <w:sz w:val="24"/>
          <w:szCs w:val="24"/>
        </w:rPr>
        <w:t xml:space="preserve"> ​в отношении инженерных сетей </w:t>
      </w:r>
      <w:r>
        <w:rPr>
          <w:rFonts w:ascii="Times New Roman" w:hAnsi="Times New Roman" w:cs="Times New Roman"/>
          <w:sz w:val="24"/>
          <w:szCs w:val="24"/>
        </w:rPr>
        <w:t>-</w:t>
      </w:r>
      <w:r w:rsidRPr="001B4FBD">
        <w:rPr>
          <w:rFonts w:ascii="Times New Roman" w:hAnsi="Times New Roman" w:cs="Times New Roman"/>
          <w:sz w:val="24"/>
          <w:szCs w:val="24"/>
        </w:rPr>
        <w:t xml:space="preserve"> ​объектов тепло-, водоснабжения, водоотведения.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3. В Государственный комитет по водному хозяйству и мелиорации Республики Крым </w:t>
      </w:r>
      <w:r>
        <w:rPr>
          <w:rFonts w:ascii="Times New Roman" w:hAnsi="Times New Roman" w:cs="Times New Roman"/>
          <w:sz w:val="24"/>
          <w:szCs w:val="24"/>
        </w:rPr>
        <w:t>-</w:t>
      </w:r>
      <w:r w:rsidRPr="001B4FBD">
        <w:rPr>
          <w:rFonts w:ascii="Times New Roman" w:hAnsi="Times New Roman" w:cs="Times New Roman"/>
          <w:sz w:val="24"/>
          <w:szCs w:val="24"/>
        </w:rPr>
        <w:t xml:space="preserve"> ​в отношении гидротехнических сооружений.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соответствии с постановлениями администрации изъяты из хозяйственного ведения и оперативного управления с закреплением в составе казны 27 объектов.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Прогнозные показатели приватизации имущества на 2019 год составляли 29</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714,9 тыс. руб. В 2019 году было заключено 13 договоров купли-продажи имущества, в местный бюджет поступило 31</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060,6 тыс. руб. (с учетом ранее заключенных договоров).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списке очередности граждан на получение в собственность (аренду) земельного участка в городском округе состоит 622 гражданина, из них 383 гражданина, относящиеся к льготной категории, и 239 граждан,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в соответствии со ст. 22.1 этого же Закона Республики Крым.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Гражданам, относящимся к льготной категории, путем проведения жеребьевки, было предварительно распределено 188 земельных участков между микрорайонами индивидуальной жилой застройки СЗЖМ «Спутник</w:t>
      </w:r>
      <w:r w:rsidRPr="001B4FBD">
        <w:rPr>
          <w:rFonts w:ascii="MS Mincho" w:eastAsia="MS Mincho" w:hAnsi="MS Mincho" w:cs="MS Mincho" w:hint="eastAsia"/>
          <w:sz w:val="24"/>
          <w:szCs w:val="24"/>
        </w:rPr>
        <w:t>‑</w:t>
      </w:r>
      <w:r w:rsidRPr="001B4FBD">
        <w:rPr>
          <w:rFonts w:ascii="Times New Roman" w:hAnsi="Times New Roman" w:cs="Times New Roman"/>
          <w:sz w:val="24"/>
          <w:szCs w:val="24"/>
        </w:rPr>
        <w:t>2» и «Айсабай».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Гражданам, состоящим в списке очередности, как определившихся с выбором земельного участка для индивидуального жилищного строительства путем его фактического занятия определены земельные участки на территории площадью 25,6 га (массива «Яшлык»).</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Кроме этого, для предоставления земельных участков льготным категориям граждан на территории городского округа определены земельный участок площадью 9,26 га, расположенный в районе Винзавода, и земельный участок площадью 14,07 га, расположенный по адресу: участок Новый, ГСП</w:t>
      </w:r>
      <w:r w:rsidRPr="001B4FBD">
        <w:rPr>
          <w:rFonts w:ascii="MS Mincho" w:eastAsia="MS Mincho" w:hAnsi="MS Mincho" w:cs="MS Mincho" w:hint="eastAsia"/>
          <w:sz w:val="24"/>
          <w:szCs w:val="24"/>
        </w:rPr>
        <w:t>‑</w:t>
      </w:r>
      <w:r w:rsidRPr="001B4FBD">
        <w:rPr>
          <w:rFonts w:ascii="Times New Roman" w:hAnsi="Times New Roman" w:cs="Times New Roman"/>
          <w:sz w:val="24"/>
          <w:szCs w:val="24"/>
        </w:rPr>
        <w:t>2. Предоставление земельных участков на указанных территориях, с учетом установленной законодательством процедуры, будет производиться после их постановки на кадастровый учет и регистрации прав на сформированные проектом межевания земельные участки за муниципальным образованием.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Также для удовлетворения прав на получение земельных участков льготными категориями граждан администрацией города определены земельные участки в пгт. Новоозерное, площадью 20,2 га, и в пгт. Мирный, площадью 10 га, которые сформированы путем проведения кадастровых работ.</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VII. ИНВЕСТИЦИОННАЯ ДЕЯТЕЛЬНОСТЬ</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городском округе реализуются 52 проекта свободной экономической зоны (СЭЗ). В течение 3-х лет (2019—2021 гг.) при успешной реализации проектов в рамках СЭЗ будет создано ориентировочно 1200 рабочих мест. Объем инвестиционных вложений — ​более 1,0 млрд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рамках создания благоприятного инвестиционного климата реализуется муниципальная программа «Экономическое развитие и формирование инвестиционного портфеля муниципального образования городской округ Евпатория».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9 месяцев 2019 года в экономику города было направлено 889</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389 тыс. рублей инвестиций в основной капитал, что (в сопоставимых ценах) на 18,6% больше, чем за аналогичный период 2018 года. В том числе инвестиции направлены на развитие: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 здравоохранения и социальных услуг </w:t>
      </w:r>
      <w:r>
        <w:rPr>
          <w:rFonts w:ascii="Times New Roman" w:hAnsi="Times New Roman" w:cs="Times New Roman"/>
          <w:sz w:val="24"/>
          <w:szCs w:val="24"/>
        </w:rPr>
        <w:t>-</w:t>
      </w:r>
      <w:r w:rsidRPr="001B4FBD">
        <w:rPr>
          <w:rFonts w:ascii="Times New Roman" w:hAnsi="Times New Roman" w:cs="Times New Roman"/>
          <w:sz w:val="24"/>
          <w:szCs w:val="24"/>
        </w:rPr>
        <w:t xml:space="preserve"> ​180,916 млн руб. (20,3% общего объема);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 образования </w:t>
      </w:r>
      <w:r>
        <w:rPr>
          <w:rFonts w:ascii="Times New Roman" w:hAnsi="Times New Roman" w:cs="Times New Roman"/>
          <w:sz w:val="24"/>
          <w:szCs w:val="24"/>
        </w:rPr>
        <w:t>-</w:t>
      </w:r>
      <w:r w:rsidRPr="001B4FBD">
        <w:rPr>
          <w:rFonts w:ascii="Times New Roman" w:hAnsi="Times New Roman" w:cs="Times New Roman"/>
          <w:sz w:val="24"/>
          <w:szCs w:val="24"/>
        </w:rPr>
        <w:t xml:space="preserve"> ​152,776 млн руб. (17,2%),</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 культуры, спорта, организации досуга и развлечений </w:t>
      </w:r>
      <w:r>
        <w:rPr>
          <w:rFonts w:ascii="Times New Roman" w:hAnsi="Times New Roman" w:cs="Times New Roman"/>
          <w:sz w:val="24"/>
          <w:szCs w:val="24"/>
        </w:rPr>
        <w:t>-</w:t>
      </w:r>
      <w:r w:rsidRPr="001B4FBD">
        <w:rPr>
          <w:rFonts w:ascii="Times New Roman" w:hAnsi="Times New Roman" w:cs="Times New Roman"/>
          <w:sz w:val="24"/>
          <w:szCs w:val="24"/>
        </w:rPr>
        <w:t xml:space="preserve"> ​16,800 млн руб. (1,9%);</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 обеспечения электрической энергией, газом и паром; кондиционирование воздуха </w:t>
      </w:r>
      <w:r>
        <w:rPr>
          <w:rFonts w:ascii="Times New Roman" w:hAnsi="Times New Roman" w:cs="Times New Roman"/>
          <w:sz w:val="24"/>
          <w:szCs w:val="24"/>
        </w:rPr>
        <w:t>-</w:t>
      </w:r>
      <w:r w:rsidRPr="001B4FBD">
        <w:rPr>
          <w:rFonts w:ascii="Times New Roman" w:hAnsi="Times New Roman" w:cs="Times New Roman"/>
          <w:sz w:val="24"/>
          <w:szCs w:val="24"/>
        </w:rPr>
        <w:t xml:space="preserve"> ​404,386 млн руб. (45,5%);</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 обрабатывающих производств </w:t>
      </w:r>
      <w:r>
        <w:rPr>
          <w:rFonts w:ascii="Times New Roman" w:hAnsi="Times New Roman" w:cs="Times New Roman"/>
          <w:sz w:val="24"/>
          <w:szCs w:val="24"/>
        </w:rPr>
        <w:t>-</w:t>
      </w:r>
      <w:r w:rsidRPr="001B4FBD">
        <w:rPr>
          <w:rFonts w:ascii="Times New Roman" w:hAnsi="Times New Roman" w:cs="Times New Roman"/>
          <w:sz w:val="24"/>
          <w:szCs w:val="24"/>
        </w:rPr>
        <w:t xml:space="preserve"> ​59,962 млн руб. (6,8%);</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 деятельности гостиниц и предприятий общественного питания </w:t>
      </w:r>
      <w:r>
        <w:rPr>
          <w:rFonts w:ascii="Times New Roman" w:hAnsi="Times New Roman" w:cs="Times New Roman"/>
          <w:sz w:val="24"/>
          <w:szCs w:val="24"/>
        </w:rPr>
        <w:t>-</w:t>
      </w:r>
      <w:r w:rsidRPr="001B4FBD">
        <w:rPr>
          <w:rFonts w:ascii="Times New Roman" w:hAnsi="Times New Roman" w:cs="Times New Roman"/>
          <w:sz w:val="24"/>
          <w:szCs w:val="24"/>
        </w:rPr>
        <w:t xml:space="preserve"> ​17,432 млн руб. (2,0%).</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целях привлечения инвестиций в реальный сектор экономики города администрация принимала участие в российских и международных форумах (Ялтинский международный экономический форум, Петербургский международный экономический форум), выставках, ярмарках и других мероприятиях экономической направленности.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Для формирования и обновления базы данных свободных земельных участков, реестров зданий, сооружений, площадок, возможных для реализации инвестиционных проектов, подготовлен актуализированный перечень инвестиционно-привлекательных земельных участков — ​9 площадок (121 га, ориентировочная кадастровая стоимость — ​1,1 млрд руб.), которые могут быть предоставлены под реализацию инновационно-инвестиционных проектов по различным направлениям.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территории муниципального образования реализуются 10 инвестиционных проектов. Объем инвестиционных вложений — ​4,9 млрд руб., запланировано создание 686 рабочих мест.</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Общий объем инвестиций, привлеченных в сферу жилищного строительства, составил — ​5,9 млрд руб., при этом размер социальных обязательств — ​12913,2 кв. м (694,6 млн руб. при средней рыночной стоимости одного квадратного метра 53793 руб. общей площади жилого помещения по Республике Крым на IV квартал 2019 года).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Планируется также в период с 2019—2020 годы увеличение инвестиций за счет удешевления кредитных ресурсов банка, в рамках подписанного Соглашения о сотрудничестве в сфере инвестиционной деятельности между администрацией города Евпатории и РНКБ Банком (ПАО).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Основным приоритетным направлением в последующие годы остается привлечение крупных частных инвесторов в реальный сектор экономики муниципального образования, которые в перспективе принесут поступления в муниципальный бюджет.</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VIII. МЕЖРЕГИОНАЛЬНОЕ ВЗАИМОДЕЙСТВИЕ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заключены соглашения о межмуниципальном сотрудничестве: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г.Сасово, Рязанская область;</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г.Самара, Самарская область;</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г.Калуга; Калужская область;</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г.Нижний Тагил, Свердловская область;</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г.Нерюнгри, Нерюнгринский район Республики Саха (Якутия).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текущий момент заключено 32 межмуниципальных соглашения с различными муниципальными образованиями Российской Федерации, а также ведется активная работа с 3 субъектами Российской Федерации.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Кроме того, на текущий момент заключено 5 международных соглашений с муниципальными образованиями: городом Людвигсбург, Федеративная Республика Германия; городом Силифке, Турецкая Республика; городом Мариньян Департамента Буш-дю-Рон Округа Истр, Французская Республика; городом Свердловск, Луганская область; городом Неа-Филадельфия, провинции Аттика, Греческая Республика.</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IX. КУРОРТ И ТУРИЗМ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территории города Евпатория в курортный сезон функционировало 155 коллективных средств размещения, в том числе 32 санатория, 5 пансионатов с лечением, 25 пансионатов, 2 базы отдыха, 9 лагерей и 82 гостиницы, рассчитанных на 27</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756 тысяч койко-мест.</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Классифицировано 38 объектов размещения (в том числе 7 отелей «4 звезды»): отель «Украина Палас»; пансионат «Озеро Сновидений»; отель «RiberaResort&amp; SPA»; этно-отель «Джеваль»; отель «Петротель»; Пансионат «Царь «Евпатор»; Гостиничный комплекс ПК «Санаторий «Золотой берег», корпус Графский.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Евпатория приняла на отдых, оздоровление и лечение всего 339</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672 организованных отдыхающих (в т.ч. детей — ​169</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836), что на 35,0% больше, чем в 2018 году (251</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581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Всего в Евпатории за год отдохнуло более 1,3 млн человек.</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Сегодня в Евпатории применяется более 50 различных лечебно-восстановительных методик, количество которых ежегодно увеличивается. Активно внедряются новые оздоровительные программы.</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курортный сезон функционировали два бесплатных городских бювета минеральной воды «Евпаторийская» и «Керкинитида». Ежедневно посещали бювет около 1000—1200 человек.</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на курорте функционировало 93 пляжа, отвечающих всем требованиям безопасности. Для пребывания людей с ограниченными физическими способностями были созданы условия на 22 пляжах. Функционировало 2 специализированных пляжа, полностью адаптированных для лиц с ограниченными физическими возможностями.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Для привлечения туристов разрабатываются новые экскурсионные маршруты, такие как «Соленый город», «Парк «Лебединое озеро», «Христианство в Евпатории».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В 2019 году Евпаторийским культурно-этнографическим центром «Малый Иерусалим» организован выпуск сувенирной и презентационной продукции: подарочные календари «Евпатория 2019», «Евпатория 2020»; «Героям Советского Союза 2020», «Б. Балтера 2020»; брошюры «Город Евпатория»; путеводитель по Евпатории; сувенирные пакеты, ручки, флаеры, блокноты, тарелки; ежедневники с логотипом «Евпатория»; наборы открыток «Малый Иерусалим»; наборы сувенирных монет; подарочное издание книги </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Б. Балтера «До свидания, мальчики»; наборы открыток «Архитектурная столица»; книжки-раскраски; карты Евпатории; наборы (ежедневник, ручка, флешка), футболки, толстовки, кружки, полотенца, платки с логотипом; статуэтки «Дервиш».</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Создан сайт «Малый Иерусалим», который включает в себя 3D-тур по главным историческим достопримечательностям Евпатории.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курортный сезон функционировало около 15 субъектов предпринимательской деятельности, которые оказывали экскурсионные услуги.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Евпатории более 50 выявленных объектов экскурсионного показа, которые по итогам сезона посетило более 400 тыс. человек.</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Проведена добровольная аттестация 10 экскурсоводов, осуществляющих экскурсионные программы на экскурсионно-туристическом маршруте «Малый Иерусалим».</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X. ИМИДЖЕВЫЕ МЕРОПРИЯТИЯ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С целью рекламы туристических возможностей города, природных лечебных факторов курорта, расширения рамок курортного сезона и увеличения притока отдыхающих проведена работа по подготовке и участию в ряде туристических выставок и информационных туров и других мероприятиях:</w:t>
      </w:r>
    </w:p>
    <w:p w:rsidR="00D34D83" w:rsidRPr="001B4FBD" w:rsidRDefault="00D34D83" w:rsidP="001B4FBD">
      <w:pPr>
        <w:pStyle w:val="ListParagraph"/>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1B4FBD">
        <w:rPr>
          <w:rFonts w:ascii="Times New Roman" w:hAnsi="Times New Roman" w:cs="Times New Roman"/>
          <w:sz w:val="24"/>
          <w:szCs w:val="24"/>
        </w:rPr>
        <w:t>VIII</w:t>
      </w:r>
      <w:r>
        <w:rPr>
          <w:rFonts w:ascii="Times New Roman" w:hAnsi="Times New Roman" w:cs="Times New Roman"/>
          <w:sz w:val="24"/>
          <w:szCs w:val="24"/>
        </w:rPr>
        <w:t xml:space="preserve"> </w:t>
      </w:r>
      <w:r w:rsidRPr="001B4FBD">
        <w:rPr>
          <w:rFonts w:ascii="Times New Roman" w:hAnsi="Times New Roman" w:cs="Times New Roman"/>
          <w:sz w:val="24"/>
          <w:szCs w:val="24"/>
        </w:rPr>
        <w:t>Туристский Форум «Открытый Крым» (г.Симферополь);</w:t>
      </w:r>
    </w:p>
    <w:p w:rsidR="00D34D83" w:rsidRPr="001B4FBD" w:rsidRDefault="00D34D83" w:rsidP="001B4FBD">
      <w:pPr>
        <w:pStyle w:val="ListParagraph"/>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1B4FBD">
        <w:rPr>
          <w:rFonts w:ascii="Times New Roman" w:hAnsi="Times New Roman" w:cs="Times New Roman"/>
          <w:sz w:val="24"/>
          <w:szCs w:val="24"/>
        </w:rPr>
        <w:t>Международная туристская выставка «Интурмаркет</w:t>
      </w:r>
      <w:r w:rsidRPr="001B4FBD">
        <w:rPr>
          <w:rFonts w:ascii="MS Mincho" w:eastAsia="MS Mincho" w:hAnsi="MS Mincho" w:cs="MS Mincho" w:hint="eastAsia"/>
          <w:sz w:val="24"/>
          <w:szCs w:val="24"/>
        </w:rPr>
        <w:t>‑</w:t>
      </w:r>
      <w:r w:rsidRPr="001B4FBD">
        <w:rPr>
          <w:rFonts w:ascii="Times New Roman" w:hAnsi="Times New Roman" w:cs="Times New Roman"/>
          <w:sz w:val="24"/>
          <w:szCs w:val="24"/>
        </w:rPr>
        <w:t>2019» (г.Москва);</w:t>
      </w:r>
    </w:p>
    <w:p w:rsidR="00D34D83" w:rsidRPr="001B4FBD" w:rsidRDefault="00D34D83" w:rsidP="001B4FBD">
      <w:pPr>
        <w:pStyle w:val="ListParagraph"/>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1B4FBD">
        <w:rPr>
          <w:rFonts w:ascii="Times New Roman" w:hAnsi="Times New Roman" w:cs="Times New Roman"/>
          <w:sz w:val="24"/>
          <w:szCs w:val="24"/>
        </w:rPr>
        <w:t>Международная туристическая выставка «MITT</w:t>
      </w:r>
      <w:r w:rsidRPr="001B4FBD">
        <w:rPr>
          <w:rFonts w:ascii="MS Mincho" w:eastAsia="MS Mincho" w:hAnsi="MS Mincho" w:cs="MS Mincho" w:hint="eastAsia"/>
          <w:sz w:val="24"/>
          <w:szCs w:val="24"/>
        </w:rPr>
        <w:t>‑</w:t>
      </w:r>
      <w:r w:rsidRPr="001B4FBD">
        <w:rPr>
          <w:rFonts w:ascii="Times New Roman" w:hAnsi="Times New Roman" w:cs="Times New Roman"/>
          <w:sz w:val="24"/>
          <w:szCs w:val="24"/>
        </w:rPr>
        <w:t>2019» (г.Москва);</w:t>
      </w:r>
    </w:p>
    <w:p w:rsidR="00D34D83" w:rsidRPr="001B4FBD" w:rsidRDefault="00D34D83" w:rsidP="001B4FBD">
      <w:pPr>
        <w:pStyle w:val="ListParagraph"/>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1B4FBD">
        <w:rPr>
          <w:rFonts w:ascii="Times New Roman" w:hAnsi="Times New Roman" w:cs="Times New Roman"/>
          <w:sz w:val="24"/>
          <w:szCs w:val="24"/>
        </w:rPr>
        <w:t>Международная туристская выставка «ЛЕТО</w:t>
      </w:r>
      <w:r w:rsidRPr="001B4FBD">
        <w:rPr>
          <w:rFonts w:ascii="MS Mincho" w:eastAsia="MS Mincho" w:hAnsi="MS Mincho" w:cs="MS Mincho" w:hint="eastAsia"/>
          <w:sz w:val="24"/>
          <w:szCs w:val="24"/>
        </w:rPr>
        <w:t>‑</w:t>
      </w:r>
      <w:r w:rsidRPr="001B4FBD">
        <w:rPr>
          <w:rFonts w:ascii="Times New Roman" w:hAnsi="Times New Roman" w:cs="Times New Roman"/>
          <w:sz w:val="24"/>
          <w:szCs w:val="24"/>
        </w:rPr>
        <w:t>2019» (г.Екатеринбург);</w:t>
      </w:r>
    </w:p>
    <w:p w:rsidR="00D34D83" w:rsidRPr="001B4FBD" w:rsidRDefault="00D34D83" w:rsidP="001B4FBD">
      <w:pPr>
        <w:pStyle w:val="ListParagraph"/>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1B4FBD">
        <w:rPr>
          <w:rFonts w:ascii="Times New Roman" w:hAnsi="Times New Roman" w:cs="Times New Roman"/>
          <w:sz w:val="24"/>
          <w:szCs w:val="24"/>
        </w:rPr>
        <w:t>бизнес-миссия представителей Урала, Республики Крым, Краснодарского края (г.Омск);</w:t>
      </w:r>
    </w:p>
    <w:p w:rsidR="00D34D83" w:rsidRPr="001B4FBD" w:rsidRDefault="00D34D83" w:rsidP="001B4FBD">
      <w:pPr>
        <w:pStyle w:val="ListParagraph"/>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1B4FBD">
        <w:rPr>
          <w:rFonts w:ascii="Times New Roman" w:hAnsi="Times New Roman" w:cs="Times New Roman"/>
          <w:sz w:val="24"/>
          <w:szCs w:val="24"/>
        </w:rPr>
        <w:t>Всероссийский форум «Здравница</w:t>
      </w:r>
      <w:r w:rsidRPr="001B4FBD">
        <w:rPr>
          <w:rFonts w:ascii="MS Mincho" w:eastAsia="MS Mincho" w:hAnsi="MS Mincho" w:cs="MS Mincho" w:hint="eastAsia"/>
          <w:sz w:val="24"/>
          <w:szCs w:val="24"/>
        </w:rPr>
        <w:t>‑</w:t>
      </w:r>
      <w:r w:rsidRPr="001B4FBD">
        <w:rPr>
          <w:rFonts w:ascii="Times New Roman" w:hAnsi="Times New Roman" w:cs="Times New Roman"/>
          <w:sz w:val="24"/>
          <w:szCs w:val="24"/>
        </w:rPr>
        <w:t>2019» (г.Алушта);</w:t>
      </w:r>
    </w:p>
    <w:p w:rsidR="00D34D83" w:rsidRPr="001B4FBD" w:rsidRDefault="00D34D83" w:rsidP="001B4FBD">
      <w:pPr>
        <w:pStyle w:val="ListParagraph"/>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1B4FBD">
        <w:rPr>
          <w:rFonts w:ascii="Times New Roman" w:hAnsi="Times New Roman" w:cs="Times New Roman"/>
          <w:sz w:val="24"/>
          <w:szCs w:val="24"/>
        </w:rPr>
        <w:t>Выездное заседание Президиума Союза промышленников и предпринимателей Пермского края «Сотрудничество» и проведении встречи с профсоюзными организациями в г.Пермь;</w:t>
      </w:r>
    </w:p>
    <w:p w:rsidR="00D34D83" w:rsidRPr="001B4FBD" w:rsidRDefault="00D34D83" w:rsidP="001B4FBD">
      <w:pPr>
        <w:pStyle w:val="ListParagraph"/>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1B4FBD">
        <w:rPr>
          <w:rFonts w:ascii="Times New Roman" w:hAnsi="Times New Roman" w:cs="Times New Roman"/>
          <w:sz w:val="24"/>
          <w:szCs w:val="24"/>
        </w:rPr>
        <w:t>финал конкурса RussianEventAwards в г.Москва,</w:t>
      </w:r>
    </w:p>
    <w:p w:rsidR="00D34D83" w:rsidRPr="001B4FBD" w:rsidRDefault="00D34D83" w:rsidP="001B4FBD">
      <w:pPr>
        <w:pStyle w:val="ListParagraph"/>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1B4FBD">
        <w:rPr>
          <w:rFonts w:ascii="Times New Roman" w:hAnsi="Times New Roman" w:cs="Times New Roman"/>
          <w:sz w:val="24"/>
          <w:szCs w:val="24"/>
        </w:rPr>
        <w:t>III</w:t>
      </w:r>
      <w:r>
        <w:rPr>
          <w:rFonts w:ascii="Times New Roman" w:hAnsi="Times New Roman" w:cs="Times New Roman"/>
          <w:sz w:val="24"/>
          <w:szCs w:val="24"/>
        </w:rPr>
        <w:t xml:space="preserve"> </w:t>
      </w:r>
      <w:r w:rsidRPr="001B4FBD">
        <w:rPr>
          <w:rFonts w:ascii="Times New Roman" w:hAnsi="Times New Roman" w:cs="Times New Roman"/>
          <w:sz w:val="24"/>
          <w:szCs w:val="24"/>
        </w:rPr>
        <w:t>Международная научно-практическая конференция «Курорт Сочи Мацеста: синергия региональных инициатив бальнеологических курортов России» (г.Сочи);</w:t>
      </w:r>
    </w:p>
    <w:p w:rsidR="00D34D83" w:rsidRPr="001B4FBD" w:rsidRDefault="00D34D83" w:rsidP="001B4FBD">
      <w:pPr>
        <w:pStyle w:val="ListParagraph"/>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1B4FBD">
        <w:rPr>
          <w:rFonts w:ascii="Times New Roman" w:hAnsi="Times New Roman" w:cs="Times New Roman"/>
          <w:sz w:val="24"/>
          <w:szCs w:val="24"/>
        </w:rPr>
        <w:t>IX</w:t>
      </w:r>
      <w:r>
        <w:rPr>
          <w:rFonts w:ascii="Times New Roman" w:hAnsi="Times New Roman" w:cs="Times New Roman"/>
          <w:sz w:val="24"/>
          <w:szCs w:val="24"/>
        </w:rPr>
        <w:t xml:space="preserve"> </w:t>
      </w:r>
      <w:r w:rsidRPr="001B4FBD">
        <w:rPr>
          <w:rFonts w:ascii="Times New Roman" w:hAnsi="Times New Roman" w:cs="Times New Roman"/>
          <w:sz w:val="24"/>
          <w:szCs w:val="24"/>
        </w:rPr>
        <w:t>Туристский Форум «Открытый Крым» (г.Симферополь);</w:t>
      </w:r>
    </w:p>
    <w:p w:rsidR="00D34D83" w:rsidRPr="001B4FBD" w:rsidRDefault="00D34D83" w:rsidP="001B4FBD">
      <w:pPr>
        <w:pStyle w:val="ListParagraph"/>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1B4FBD">
        <w:rPr>
          <w:rFonts w:ascii="Times New Roman" w:hAnsi="Times New Roman" w:cs="Times New Roman"/>
          <w:sz w:val="24"/>
          <w:szCs w:val="24"/>
        </w:rPr>
        <w:t>Международный туристический форум «SiFT» (г.Сочи);</w:t>
      </w:r>
    </w:p>
    <w:p w:rsidR="00D34D83" w:rsidRPr="001B4FBD" w:rsidRDefault="00D34D83" w:rsidP="001B4FBD">
      <w:pPr>
        <w:pStyle w:val="ListParagraph"/>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делегация под руководством Главы города с деловым визитом посетила ХМАО </w:t>
      </w:r>
      <w:r>
        <w:rPr>
          <w:rFonts w:ascii="Times New Roman" w:hAnsi="Times New Roman" w:cs="Times New Roman"/>
          <w:sz w:val="24"/>
          <w:szCs w:val="24"/>
        </w:rPr>
        <w:t>-</w:t>
      </w:r>
      <w:r w:rsidRPr="001B4FBD">
        <w:rPr>
          <w:rFonts w:ascii="Times New Roman" w:hAnsi="Times New Roman" w:cs="Times New Roman"/>
          <w:sz w:val="24"/>
          <w:szCs w:val="24"/>
        </w:rPr>
        <w:t xml:space="preserve"> ​Югра.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территории городского округа Евпатория в составе МАУ «Евпаторийский культурно-этнографический центр «Малый Иерусалим» функционирует круглогодичный туристско-информационный центр. МАУ «ЕКЭЦ «Малый Иерусалим» ежемесячно составляется контент-план для публикаций с целью продвижения города Евпатории в социальных сетях: ВКонтакте, Фейсбук, Одноклассники, Инстаграм. На постоянной основе наполняется контентом курортный интернет-портал городского округа Евпатории.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базе санаторно-курортных учреждений Евпатории традиционно проводятся научные мероприятия в формате научно-практических конференций, тематических круглых столов, профильных и междисциплинарных семинаров, выездных лекций ведущих специалистов.</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XI. ПОТРЕБИТЕЛЬСКИЙ РЫНОК</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территории города в 2019 году организована работа 3 постоянно действующих универсальных ярмарок:</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по ул. Чапаева — ​пр. Победы с размещением 250 мест;</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по пр. Победы (район магазина «Универсам») с размещением 254 мест;</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по пр. 51 Армии (напротив ст. Дружба) с размещением на 55 мест.</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Проведены 4 универсальные ярмарки, 730 ежедневных ярмарок, 688 мини-ярмарок выходного дня и еженедельных ярмарочные мероприятия на торговых местах (площадках) в спальных районах города.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Заключен Меморандум взаимопонимания между администрацией города Евпатории, производителями продовольственных товаров и субъектами системы розничной торговли с 98 субъектами хозяйствования (195 объектов торговли). Субъектам хозяйствования рекомендовано формировать розничные цены на отдельные виды социально значимых продовольственных товаров с применением экономически обоснованного размера торговой надбавки до 12 процентов.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Дополнительно в 2019 году были открыты 11 нестационарных объектов фирменных торговых сетей «Гезлевские колбасы», ГУП РК «КрымХлеб», ТМ «Сакское мороженное».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2020 году в целях стабилизации ценовой ситуации на потребительском рынке, а также развития торговли городского округа планируется: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реконструкция и перенос торгового ряда по ул. Интернациональная в районе «Колхозного рынка»;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модернизация внешнего вида нестационарных торговых объектов, расположенных в курортной зоне по ул. Фрунзе и ул. Горького;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выполнение мероприятий по обеспечению защиты прав потребителей в рамках полномочий управления потребительского рынка и развития предпринимательства;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проведение конкурса на получение права на размещение нестационарных торговых объектов в городском округе Евпатория на длительный срок;</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организация и проведение сельскохозяйственных и универсальных ярмарок на территории городского округа;</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XII. ПРЕДПРИНИМАТЕЛЬСТВО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Приняты меры по созданию благоприятных условий для развития субъектов малого и среднего предпринимательства.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Функционирует МАУ «Центр поддержки и развития предпринимательства» городского округа Евпатория.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Организована деятельность совещательного органа в области развития малого и среднего предпринимательства — ​общественного совета при управлении потребительского рынка и развития предпринимательства администрации города.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Активизировано взаимодействие с Фондом поддержки предпринимательства Крыма, Домом предпринимателя, совместно в Евпатории провели 5 образовательных мероприятий, 5 круглых столов, содействовали участию бизнеса в 35 мероприятиях, способствующих развитию делового сотрудничества.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целях повышения уровня правовой грамотности предпринимателей проведено 46 бесплатных мероприятий (2 вебинара, 9 семинаров, 14 совещаний, 6 круглых столов, 12 мастер-классов, 1 тренинг-практикум, 1 деловая встреча, конкурс «Бизнес-квест «Мое дело» для начинающих предпринимателей). Актуальные информационные материалы сферы предпринимательства размещались на официальном сайте городского округа Евпатория Республики Крым my-evp.ru и на сайте Центра поддержки и развития предпринимательства цпирп.рф. Информационная и консультационная поддержка оказана более 7 тыс. хозяйствующим субъектам и начинающим предпринимателям, в том числе по «горячей линии» — ​710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2020 году в целях создания благоприятных условий для развития бизнеса в городском округе планируется: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оказать не менее 5,2 тыс. консультационных информационных услуг субъектам малого и среднего предпринимательства и начинающим предпринимателям;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провести более 44 мероприятий (встреч-совещаний, бесплатных семинаров, круглых столов, тренингов, мастер-классов и т.д.) по актуальным вопросам сферы предпринимательства;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продолжить взаимодействие с Фондом поддержки предпринимательства Крыма, в том числе по оказанию образовательной поддержки начинающим предпринимателям по программам «Основы предпринимательской деятельности» и «Основы бизнес-планирования» и другим проектам;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активизировать взаимодействие с представительством «Дома предпринимателя» в части привлечения субъектов малого и среднего предпринимательства к участию в городских и региональных мероприятиях;</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продолжить деятельность общественного совета при управлении потребительского рынка и развития предпринимательства администрации города Евпатории.</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XIII. ОБРАЗОВАНИЕ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начале 2019—2020 учебного года в Евпатории функционировали 42 образовательных учреждения: 22 — ​дошкольных и 17 — ​общеобразовательных (в том числе 2 гимназии, 1 учебно-воспитательный комплекс, 14 средних школ); 3 учреждения дополнительного образования.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систему дошкольного образования городского округа входят 22 муниципальные бюджетные дошкольные учреждения, из них осуществляют деятельность — ​20. Всего в муниципальных детских садах функционируют 202 группы, их посещают 5038 воспитанников.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отчетный период на базе дошкольных образовательных учреждений функционировали 15 групп компенсирующей направленности, в них — ​228 детей.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очереди на зачисление детей в дошкольные образовательные учреждения на 01.01.2020 состоят 2844 человек.</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Для обеспечения контроля над социально значимой задачей — ​сокращением очередности в детские сады и прозрачности продвижения очереди с 2015 года учет детей ведется в автоматизированной информационной системе. В детский сад с июня по сентябрь 2019 года зачислено 1263 ребенка. Показатель обеспечения доступности дошкольного образования детям от 1 года до 3-х лет составляет 76,7%, от 3-х до 7-ми лет — ​94,1%.</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Евпатории функционируют 2 ресурсных центра на базе дошкольных образовательных учреждений: МБДОУ «ДС № 1 «Космос», МБДОУ «ДС № 37 «Журавлик». Цель работы ресурсных центров — ​формирование системы оценки качества дошкольного образования Республики Крым в условиях федерального государственного образовательного стандарта дошкольного образования. За период своей работы ресурсные центры решили ряд методических функций, в том числе оказание консультативной помощи по внедрению в практику ДОУ инновационных технологий.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Трансляция инновационного опыта осуществляется через информационное обеспечение (сайты), организацию и проведение семинаров, в программе форума педагогических работников дошкольных образовательных учреждений.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в детских садах работали 415 педагогических работников (в 2018—404 чел.), из них: с высшим образованием — ​324 чел. (78%), средним специальным — ​91 чел. (22%).</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Обучение по дополнительным профессиональным программам повышения квалификации руководящих и педагогических кадров в 2019 году прошли 123 человека.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отчетном году 93 педагога прошли аттестацию. По итогам аттестации установлено: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высшая категория — ​22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первая категория — ​32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соответствие занимаемой должности — ​39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Численность воспитанников дошкольных учреждений в расчете на 1 педагогического работника составляет 12,1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Удельный вес численности детей-инвалидов в общей численности воспитанников составляет 1,3%, детей с ограниченными возможностями здоровья — ​4,9%.</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Муниципальное бюджетное дошкольное образовательно учреждение «Детский сад № 27 «Розочка» стало победителем Всероссийского смотра-конкурса «Образцовый детский сад».</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систему общеобразовательных учреждений, реализующих образовательные программы начального, основного и среднего общего образования входят 17 муниципальных учреждений, 16 — ​функционирует. В них 433 класса, из них:</w:t>
      </w:r>
    </w:p>
    <w:p w:rsidR="00D34D83" w:rsidRPr="001B4FBD" w:rsidRDefault="00D34D83" w:rsidP="002D5772">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- 61 класс с углубленным изучением предметов (МБОУ «СШ №14», «ЕУВК «Интеграл», «Гимназия №8», «Гимназия им. Сельвинского») — ​1594 обучающихся;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- 1 вечерний класс (МБОУ «СШ №18») — ​12 обучающихся;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- 6 коррекционных классов (МБОУ «СШ №7», «СШ №16») — ​75 обучающихся;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- 8 классов для умственно отсталых детей (МБОУ «СШ №15») — ​107 обучающихся;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- 32 инклюзивных класса для детей с ограниченными возможностями здоровья (МБОУ «СШ №2», «НСШ», «СШ №11», «СШ №12», «СШ №13», «СШ №15», УВК «Интеграл», «Гимназия им. И. Сельвинского);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- 397 общеобразовательных классов — ​10751 обучающихся.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Назрела необходимость внедрения дистанционной формы обучения.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общеобразовательных учреждениях города в 2019 году работало 1291 сотрудников, из них: руководителей — ​86 чел.; педагогических работников — ​853 чел., учителей — ​726 чел.; учебно-вспомогательного персонала — ​85 чел.; обслуживающего персонала — ​267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в 16 общеобразовательных учреждениях обучалось 288 детей с ограниченными возможностями здоровья, из них 152 дети-инвалиды. Кроме того, детей-инвалидов без статуса ограниченных возможностей здоровья — ​107 человек. Для организации качественного обучения в общеобразовательных организациях работают: 5 социальных педагогов, 7 тьюторов, 16 учителей-логопедов, 18 педагогов-психологов, 22 учителя-дефектолога.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работали собственные столовые на базе 3-х школ №1, №12, №13, в 13 школах питание организуют арендаторы. Бесплатное горячее питание организовано для обучающихся 1—4 классов и обучающихся льготных категорий.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Для обеспечения обучающихся 1—4 классов горячим питанием (завтрак) выделены средства из бюджета Республики Крым. На 2-х разовое (завтрак и обед) горячее питание детей льготных категорий (детей-инвалидов, детей с ограниченными возможностями здоровья, детей из малоимущих и многодетных семей, детей-сирот, детей, оставшиеся без попечения родителей, лиц из числа детей-сирот и детей, оставшихся без попечения родителей) выделены средства из бюджета муниципального образования. Для детей с ограниченными возможностями здоровья, а также детей-инвалидов, имеющих статус обучающихся с ограниченными возможностями здоровья, получающих образование на дому, предусмотрено 2-х разовое горячее питание или компенсация за питание в денежном эквиваленте. Стоимость питания в день на одного обучающегося составляет от 112,04 руб. до 185,23 руб. в зависимости от возрастной и льготной категории.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городе созданы все условия для проведения летней оздоровительной кампании школьников. Летом 2019 года было оздоровлено 1383 детей в 6 лагерях дневного пребывания и на 13 тематических площадках, открытых на базе образовательных учреждений, что составило 11,0% от числа детей школьного возраста.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систему дополнительного образования детей входят 3 муниципальных учреждения: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МБОУ ДОД «Эколого-биологический центр» — ​856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МБОУ ДОД «Станция юных техников» — ​612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МБОУ ДОД «Центр детского и юношеского творчества «Ровесник» — ​1797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Ежегодно в рамках реализации государственной молодежной политики проводятся мероприятия по вовлечению детей и подростков 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инновационную деятельность и научно-техническое творчество;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работу средств массовой информации (молодежные медиа);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занятие творческой деятельностью;</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взаимодействие с общественными организациями и движениями;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формирование у молодежи традиционных семейных ценностей;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патриотическое воспитание молодежи;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формирование российской идентичности, единства российской нации, содействие межкультурному и межконфессиональному диалогу;</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волонтерскую деятельность;</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здоровый образ жизни и занятия спортом, популяризацию культуры безопасности в молодежной среде.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Евпатории функционирует детский технопарк «Кванториум». Базовой площадкой для размещения технопарка стали помещения МБОУ ДОД «Станция юных техников».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настоящее время на базе технопарка реализовывается 6 основных направлений:</w:t>
      </w:r>
    </w:p>
    <w:p w:rsidR="00D34D83" w:rsidRPr="001B4FBD" w:rsidRDefault="00D34D83" w:rsidP="001B4FBD">
      <w:pPr>
        <w:pStyle w:val="ListParagraph"/>
        <w:widowControl w:val="0"/>
        <w:numPr>
          <w:ilvl w:val="0"/>
          <w:numId w:val="4"/>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Автоквантум — автоконструирование и картинг.</w:t>
      </w:r>
    </w:p>
    <w:p w:rsidR="00D34D83" w:rsidRPr="001B4FBD" w:rsidRDefault="00D34D83" w:rsidP="001B4FBD">
      <w:pPr>
        <w:pStyle w:val="ListParagraph"/>
        <w:widowControl w:val="0"/>
        <w:numPr>
          <w:ilvl w:val="0"/>
          <w:numId w:val="4"/>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Аэроквантум — авиаконструирование, стендовый моделизм.</w:t>
      </w:r>
    </w:p>
    <w:p w:rsidR="00D34D83" w:rsidRPr="001B4FBD" w:rsidRDefault="00D34D83" w:rsidP="001B4FBD">
      <w:pPr>
        <w:pStyle w:val="ListParagraph"/>
        <w:widowControl w:val="0"/>
        <w:numPr>
          <w:ilvl w:val="0"/>
          <w:numId w:val="4"/>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IT-квантум — программирование и IT-технологии.</w:t>
      </w:r>
    </w:p>
    <w:p w:rsidR="00D34D83" w:rsidRPr="001B4FBD" w:rsidRDefault="00D34D83" w:rsidP="001B4FBD">
      <w:pPr>
        <w:pStyle w:val="ListParagraph"/>
        <w:widowControl w:val="0"/>
        <w:numPr>
          <w:ilvl w:val="0"/>
          <w:numId w:val="4"/>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Космоквантум — изучение авиации и космонавтики, стендовое моделирование.</w:t>
      </w:r>
    </w:p>
    <w:p w:rsidR="00D34D83" w:rsidRPr="001B4FBD" w:rsidRDefault="00D34D83" w:rsidP="001B4FBD">
      <w:pPr>
        <w:pStyle w:val="ListParagraph"/>
        <w:widowControl w:val="0"/>
        <w:numPr>
          <w:ilvl w:val="0"/>
          <w:numId w:val="4"/>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Робоквантум — изучение электроники и робототехники.</w:t>
      </w:r>
    </w:p>
    <w:p w:rsidR="00D34D83" w:rsidRPr="001B4FBD" w:rsidRDefault="00D34D83" w:rsidP="001B4FBD">
      <w:pPr>
        <w:pStyle w:val="ListParagraph"/>
        <w:widowControl w:val="0"/>
        <w:numPr>
          <w:ilvl w:val="0"/>
          <w:numId w:val="4"/>
        </w:numPr>
        <w:tabs>
          <w:tab w:val="left" w:pos="284"/>
        </w:tabs>
        <w:spacing w:after="0" w:line="240" w:lineRule="auto"/>
        <w:ind w:left="0" w:firstLine="0"/>
        <w:jc w:val="both"/>
        <w:rPr>
          <w:rFonts w:ascii="Times New Roman" w:hAnsi="Times New Roman" w:cs="Times New Roman"/>
          <w:sz w:val="24"/>
          <w:szCs w:val="24"/>
        </w:rPr>
      </w:pPr>
      <w:r w:rsidRPr="001B4FBD">
        <w:rPr>
          <w:rFonts w:ascii="Times New Roman" w:hAnsi="Times New Roman" w:cs="Times New Roman"/>
          <w:sz w:val="24"/>
          <w:szCs w:val="24"/>
        </w:rPr>
        <w:t>Промдизайн — графический дизайн и компьютерное моделирование.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сферу образования привлечен большой объем финансирования.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проведены мероприятия по укреплению материально-технической базы общеобразовательных и дошкольных учреждений: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В общеобразовательных учреждениях: проведены капитальный и текущий ремонт внутренних помещений, ремонт кровли, текущий ремонт электропроводки, внутренних сетей водоснабжения, сетей отопления на сумму 5</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481</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311,86 руб.; приобретены электротовары на сумму 1</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074</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910,80 руб.; приобретена мебель, оборудование пищеблоков, электрооборудование и учебное оборудование на сумму 12</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395</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621,48 руб.; приобретены стройматериалы на сумму 2</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319</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471,92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В дошкольных образовательных учреждениях: проведены ремонты внутренних помещений, кровли, сетей отопления, водоснабжения и канализации, электропроводки помещений, тротуарной плитки, на сумму 5</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340</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872,67 руб.; приобретена мебель на сумму 4</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309</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456,95 руб.; приобретено оборудование пищеблоков, электрооборудование на сумму 4</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062</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234,79 руб.; приобретен мягкий инвентарь на сумму 2</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068</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635,68 руб.; приобретено игровое оборудование на сумму 6</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488</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624,15 руб.; приобретены стройматериалы на сумму 3</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015</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496,97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проведены работы в рамках реализации проекта «Моя красивая школа» в 4 общеобразовательных учреждениях: гимназия №8, средние школы №№12, 13, 14.</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были приобретены три модульных детских сада, каждый вместимостью на 100 воспитанников: МБОУ «Средняя школа №16» (ул. 60 лет ВЛКСМ, 30), в микрорайоне Исмаил-бей, МБОУ «Средняя школа №12» (ул. Хлебная, 51).</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Также для решения задач по ликвидации очередности в дошкольные образовательные учреждения, сокращению обучения во вторую смену, по созданию новых образовательных учреждений в федеральную целевую программу «Социально-экономическое развитие Республики Крым и города Севастополя до 2020 года» включены работы по реконструкции дошкольных образовательных учреждений (ясли-сад) №26 «Росинка» (130 мест) и «Золотая рыбка» (81 место), строительству общеобразовательной школы в микрорайоне №8 (800 мест), общеобразовательной школы (480 мест) и детского сада (135 мест) в мкрн Исмаил-бей.</w:t>
      </w:r>
    </w:p>
    <w:p w:rsidR="00D34D83" w:rsidRDefault="00D34D83" w:rsidP="002D5772">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Основной стратегической целью до 2035 года является совершенствование системы образования с учетом современных требований и перспектив развития с целью создания условий для равного доступа к качественному образованию.</w:t>
      </w:r>
    </w:p>
    <w:p w:rsidR="00D34D83" w:rsidRPr="002D5772" w:rsidRDefault="00D34D83" w:rsidP="002D5772">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XIV. СПОРТ</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целях совершенствования деятельности по развитию спортивно-массовой работы в микрорайонах города, вовлечению в занятия спортом всех без исключения слоев населения, повышения эффективности организации спортивно-массовых мероприятий, 2019 год был объявлен Годом массового спорта в Евпатории.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физкультурно-оздоровительной работой охвачено 28</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716 человек, что составляет 25% от всего населения муниципального образования (14</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497 чел. в 2018 году). Доля обучающихся, систематически занимающихся физической культурой и спортом, в 2019 году составила 93% от общей численности обучающихся, что на 27,6% больше, чем в 2018 году.</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рамках реализации Национального проекта «Спорт — ​норма жизни», целью является доведение доли граждан, систематически занимающихся физической культурой и спортом до 55% к 2024 году.</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территории муниципального образования проведено 418 мероприятий (333 мероприятия в 2018 году), ведущие спортсмены и сборные команды городского округа Евпатория приняли участие в 295 соревнованиях (233 мероприятия в 2018 году).</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достигнутые спортивные достижения по состоянию присвоено спортивных разрядов — ​429 чел. (КМС — ​27 чел., 1-й разряд — ​35 чел., массовые разряды — ​367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образован Общественный совет при управлении по делам семьи, молодежи и спорта администрации города. В его состав включены 19 человек из представителей общественности муниципального образования, депутатского корпуса Евпаторийского городского совета, сотрудников подведомственных учреждений управления.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ноябре 2019 году реорганизован Ветеранский общественный совет при управлении по делам семьи, молодежи и спорта, в состав которого вошли 13 человек из представителей ветеранской спортивной общественности города.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целях повышения эффективности развития спортивно-массовой работы функционирует МБУ «Центр массового спорта», на базе которого реализуются функции муниципального Центра тестирования по выполнению видов испытаний (тестов) Всероссийского физкультурно-спортивного комплекса «Готов к труду и обороне» (далее — ​ГТО). Общее количество мероприятий по оценке выполнения нормативов комплекса ГТО, проведенных в 2019 году в соответствии с единым календарным планом физкультурных мероприятий (без учета текущих мероприятий Центра тестирования по графику приема нормативов), составило — ​13.</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проведена масштабная работа по реконструкции и строительству спортивных объектов на территории городского округа Евпатория: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оборудованы 8 гимнастических площадок по программе благоустройства внутридворовых территорий «Чистый двор — ​уютный город»;</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оборудованы 8 площадок-воркаут площадью 180 м2;</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установлены 4 универсальные игровые спортивные площадки;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осуществлено оборудование резиновым покрытием основания 7 площадок ВФСК ГТО;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установлена спортивная площадка, адаптированная для маломобильных групп населения в парке им. Фрунзе, площадью 70 м2. Основание данной площадки покрыто резиной, установлен набор тренажерных комплексов, полностью приспособленных для занятий лиц с ограниченными возможностями здоровья;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в рамках федеральной целевой программы «Развитие физической культуры и спорта в Российской Федерации на 2016—2020 годы» ведутся строительно-монтажные работы по мероприятию «Реконструкция объектов МБУ «Дворец спорта»;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в рамках Федеральной целевой программы «Социально-экономическое развитие Республики Крым и г. Севастополя до 2022 года» начато строительство физкультурно-оздоровительного комплекса;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завершается проектирование помещений для занятий спортом площадью 1399м2 по адресу: пгт Мирный, ул. Сырникова, 32;</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в 2019 году в оперативное управление учреждений спорта передан 1 объект — ​помещение по адресу: ул. Перекопская, 4.</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Ближайшие планы по проектированию объектов спорта: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разработка проектно-сметной документации по реконструкции объектов недвижимости — ​нежилых зданий, расположенных по адресу: ул. Сытникова, 16 (зал бокса);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разработка проектно-сметной документации по капитальному ремонту нежилого подвального помещения, ул. Перекопская, д.</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4, под специализированный объект для обслуживания спортивной инфраструктуры микрорайона (раздевалки, туалеты, подсобные помещения);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проектирование и строительство парка для экстремальных видов спорта — ​2020-2022 годы;</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проектирование и строительство спортивного ядра МБУ «Дворец спорта» — ​2020-2022 годы;</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проектирование и строительство 3-х спортивных залов по пр. Победы, ул. Вольная и ул. 60 лет ВЛКСМ — ​2021-2022 годы.</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XV. МОЛОДЕЖНАЯ ПОЛИТИКА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По итогам 2019 года по системе ключевых показателей реализации государственной молодежной политики Евпатория, как и в 2018 году, заняла первое место в Республике Крым.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проведено более 55 молодежных мероприятий.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Продолжена практика выплаты стипендии социально-активной студенческой молодежи. Выплата осуществляется 10 лучшим студентам высших и профессиональных образовательных организаций города.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Проведен конкурс среди социально ориентированных некоммерческих организаций по предоставлению грантов в форме субсидий из бюджета муниципального образования на реализацию социальных молодежных инициатив по социально значимым проблемам городского развития. Некоммерческой организации Городское казачье общество «Евпаторийское» предоставлен грант в размере 50,0 тыс. руб. на реализацию проекта «Переиздание поэтической антологии «Вместе с Вами я люблю Евпаторию» общим тиражом в 100 экземпляров».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Проведен конкурс по присуждению премии за достижения в области культуры, искусства, образования, науки и техники, в иных областях. 5 соискателей премии получили выплаты из бюджета муниципального образования городской округ Евпатория Республики Крым. На эти цели в бюджете предусмотрены средства в сумме 35 тыс.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Управлением по делам семьи, молодежи и спорта, Центром занятости населения в г.Евпатория в июле 2019 года была организована работа молодежного трудового отряда в количестве 16 чел. На функционирование отрядов из бюджета муниципального образования выделено 230,200 тыс.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Евпатория заняла первое место среди муниципалитетов Республики Крым по реализации мероприятий по организации отдыха и оздоровления детей. Так, в 2019 году всеми видами отдыха, оздоровления и санаторно-курортного лечения охвачено 12</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363 чел. (99,9% от общего количества детей школьного возраста). Продолжается практика направления талантливых и одаренных детей на оздоровление в МДЦ «Артек», ВДЦ «Смена» (г.Анапа), ВДЦ «Орленок» (г.Туапсе). В 2019 году в детских центрах побывало 40 детей.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Муниципальный форум «НеПростоФорум», организованный Волонтерским корпусом Евпатории, вошёл в тройку лучших муниципальных проектов в сфере молодежной политики по итогам республиканского конкурса «Крым молодежный».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базе МБУ ДОД «Объединение детско-юношеских клубов по месту жительства» администрации города функционируют 8 клубов по месту жительства. Работают 13 кружков художественно-эстетического и спортивного направления. Охват детей составляет 486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XVI. ЗАЩИТА НЕСОВЕРШЕННОЛЕТНИХ</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По состоянию на 01.01.2020 в отделе опеки и попечительства состоит 299 детей-сирот и детей, оставшихся без попечения родителей (в т.ч. 167 — ​опекаемых, 125 — ​приемных, 6 — ​на полном государственном обеспечении).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2019 год из 19 выявленных в г.Евпатория детей-сирот и детей, оставшихся без попечения родителей, 16 детей устроены в семьи, 3 ребенка ушли под надзор в государственные учреждения.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по сравнению с 2018 годом, количество приемных семей увеличилось с 24 до 29. На конец 2019 года в Евпатории функционировало 29 приёмных семей, в которых воспитывается 125 детей.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в список лиц, нуждающихся в обеспечении жилыми помещениями, включено 18 человек.</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счет средств федерального, республиканского и муниципального бюджетов приобретено 4 квартиры для лиц из числа детей-сирот, и детей, оставшихся без попечения родителей.</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XVII. СОЦИАЛЬНАЯ ПОЛИТИКА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2019 год обеспечено предоставление мер социальной поддержки в виде денежных выплат, льгот на оплату жилищно-коммунальных услуг, бесплатный проезд 52</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989 евпаторийцам.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Меры социальной поддержки из бюджетов всех уровней предоставлены 7395 семьям с детьми. По состоянию на 01.01.2020 года 27950 граждан получают льготы на жилищно-коммунальные услуги и ежемесячную денежную помощь.</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5 общественных организаций инвалидов и ветеранов получили финансовую поддержку из местного бюджета в сумме 499,968 тыс.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Выдано 14 свидетельств на получение единовременной денежной выплаты по обеспечению жилыми помещениями гражданам-участника мероприятия в соответствии с Указом Президента Российской Федерации от 22.03.2018 №116.</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Заключен 1 договор найма специализированного жилищного фонда для детей-сирот, детей, оставшихся без попечения родителей, и лиц из их числа.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Предоставлено по договорам социального найма 18 квартир по списку малоимущих граждан, состоящих на учете нуждающихся в жилых помещениях.</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Заключено 220 договоров социального найма жилых помещений.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С целью повышения уровня доступности муниципальных объектов социальной инфраструктуры и предоставляемых на них услуг в 2019 году, в рамках работы межведомственной комиссии по обследованию объектов социальной инфраструктуры и экспертной оценки состояния их доступности муниципального образования, проведена паспортизация 21-го объекта социальной инфраструктуры в сферах: образования, потребительского рынка, туризма, а также административных помещений. Разработаны планы поэтапного приведения вышеуказанных объектов в соответствие с требованиями действующего законодательства, которые будут реализованы по мере поступления бюджетных ассигнований.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целях обеспечения возможности беспрепятственного получения услуг, администрацией города Евпатория на подведомственных объектах организовано оказание ситуационной помощи инвалидам при их посещении. Организовано инструктирование и обучение персонала по вопросам оказания такой помощи.</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XVIII. КУЛЬТУРА И МЕЖНАЦИОНАЛЬНЫЕ ОТНОШЕНИЯ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Всего в 2019 году было проведено 398 культурно-массовых мероприятий, направленных на организацию массового отдыха, содержательного досуга горожан, сохранение и развитие традиций, культуры и истории. Общее число участников и посетителей всех мероприятий составляет более 450 тыс.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Особой популярностью среди жителей и гостей города пользовались: народные гуляния и фестиваль «Летние вечера на Караимской» на туристическом маршруте «Малый Иерусалим», Международный день курортника, конкурсная программа «На экваторе Евпаторийского лета», фестиваль «Венок дружбы» (караимской, немецкой и белорусской культуры), фестиваль греческой культуры «Элефтерия — ​2019», народные гуляния и Республиканский фестиваль «Санта Клаус отдыхает — ​на арене Дед Мороз» и др.</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проведение общегородских мероприятий в Евпатории и прилегающих поселках из городского бюджета в 2019 году было потрачено 7</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935,06 тыс. руб.</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территории муниципального образования функционируют 3 муниципальных учреждения культурно-досугового типа: Евпаторийский и Заозерненский центры культуры и досуга, Мирновский дом культуры.</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их базе осуществляют деятельность 36 клубных формирований с общим числом участников — ​729 человек. Общая численность работников культурно-досуговых учреждений составляет 58 чел., в том числе основных работников — ​40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творческий коллектив МБУК «Евпаторийский центр культуры и досуга» стал Дипломантом Национальной премии «Театр масс» (г.Москва), в номинации «Лучший фестивальный проект» — ​фестиваль «Летние вечера на Караимской.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Директор Евпаторийского центра культуры и досуга В.В. Арихин стал Дипломантом Национальной премии «Театр масс» (г.Москва), в номинации «Лучшая работа продюсера».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Основную работу по удовлетворению информационных и социальных потребностей населения городского округа выполняет муниципальное бюджетное учреждение культуры «Евпаторийская централизованная библиотечная система», в которую входят 15 библиотек (8 — ​общедоступных, 5 детских, 1 юношеская, 1 специализированная для слепых и слабовидящих). Уровень фактической обеспеченности библиотеками населения муниципального образования составляет 100% от нормативной потребности.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xml:space="preserve">Главное профессиональное достижение ЕЦБС в 2019 году — ​присуждение 1-го места в ежегодном Республиканском конкурсе «Библиотечная столица Республики Крым» (организатор — ​Крымская республиканская универсальная научная библиотека </w:t>
      </w:r>
      <w:r>
        <w:rPr>
          <w:rFonts w:ascii="Times New Roman" w:hAnsi="Times New Roman" w:cs="Times New Roman"/>
          <w:sz w:val="24"/>
          <w:szCs w:val="24"/>
        </w:rPr>
        <w:t xml:space="preserve">                        </w:t>
      </w:r>
      <w:r w:rsidRPr="001B4FBD">
        <w:rPr>
          <w:rFonts w:ascii="Times New Roman" w:hAnsi="Times New Roman" w:cs="Times New Roman"/>
          <w:sz w:val="24"/>
          <w:szCs w:val="24"/>
        </w:rPr>
        <w:t>им. И. Франко при содействии Министерства культуры Республики Крым). По итогам конкурса Евпатории впервые присвоено почётное звание крымской «Библиотечной столицы».</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Совокупный библиотечный фонд муниципальных библиотек насчитывает 304546 единиц хранения (в ЕЦБС — ​295</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505 ед., в ЗЦКД — ​9041 ед.).</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Все библиотеки предоставляют читателям бесплатный доступ к сети Интернет.</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Евпатории в 2019 году функционировали около 20 учреждений музейного типа: 2 муниципальных музея (краеведческий и этнографический), общественные и частные музеи.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Система художественного образования в Евпатории представлена 3 учреждениями дополнительного образования сферы культуры муниципальных учреждения — ​Евпаторийская и Новоозерновская детские школы искусств, Евпаторийская детская художественная школа им. Волкова.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Количество учащихся школ по образовательным программам основной образовательной деятельности на 01.01.2020 года составил 1</w:t>
      </w:r>
      <w:r w:rsidRPr="001B4FBD">
        <w:rPr>
          <w:rFonts w:ascii="MS Mincho" w:eastAsia="MS Mincho" w:hAnsi="MS Mincho" w:cs="MS Mincho" w:hint="eastAsia"/>
          <w:sz w:val="24"/>
          <w:szCs w:val="24"/>
        </w:rPr>
        <w:t> </w:t>
      </w:r>
      <w:r w:rsidRPr="001B4FBD">
        <w:rPr>
          <w:rFonts w:ascii="Times New Roman" w:hAnsi="Times New Roman" w:cs="Times New Roman"/>
          <w:sz w:val="24"/>
          <w:szCs w:val="24"/>
        </w:rPr>
        <w:t>179 чел.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Театральная сфера городского округа Евпатория представлена муниципальным учреждением культуры «Театр-студия кукол «Марионетки», в репертуаре которого — ​кукольные спектакли, театрализованные представления и развлекательные игровые программы для детей и взрослых с участием кукол-марионеток и ростовых кукол.</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Всего за 2019 год театром проведено 226 спектаклей, игровых театрализованных программ с общим количеством зрителей 7226 чел., в том числе: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- 80 платных спектаклей на стационаре (1750 зрителей);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- 12 платных спектаклей на выезде (700 зрителей);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- 105 бесплатных спектаклей на стационаре, которые посетили 1395 человек;</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- 29 публичных уличных театрализованных игровых программ, которые посмотрел3381 зритель.</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территории городского округа Евпатория действуют 26 местных религиозных организаций, 1 централизованная религиозная организация, зарегистрированные в соответствии с законодательством Российской Федерации, 11 религиозных групп, относящихся к 20 конфессиям, 10 национально-культурных автономий, 5 казачьих обществ, зарегистрированных в соответствии с законодательством РФ.</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Для создания атмосферы взаимопонимания между представителями различных национальностей, координации их действий совместно с органами местного самоуправления, при администрации города создан совет по вопросам межнациональных отношений, в состав которого вошли представители зарегистрированных и действующих на территории города национально-культурных общественных автономий.</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 xml:space="preserve">XIX. ГРАЖДАНСКАЯ ОБОРОНА </w:t>
      </w: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И ОБЩЕСТВЕННАЯ БЕЗОПАСНОСТЬ</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2019 год для организации надежной защиты населения и территорий городского округа Евпатория от чрезвычайных происшествий, аварийных ситуаций, чрезвычайных ситуаций (в т.ч. предупреждения):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администрацией города принято 28 постановлений;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проведено 13 заседаний комиссии ЧС и ОПБ, рассмотрено 43 вопроса;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актуализированы Паспорт безопасности муниципального образования, Электронный паспорт территории городского округа Евпатория.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прошли обучение 287 должностных лиц в сфере ГО и ЧС;</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регулярно проводились комплексные учения, штабные тренировки по вопросам ГО и защиты населения и территорий городского округа Евпатория от ЧС и ликвидации их последствий, за 2019 год проведено 12 тренировок (учений), в т.ч. Всероссийская штабная тренировка по гражданской обороне и Всероссийское командно-штабное учение по ликвидации чрезвычайных ситуаций и их последствий.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отчетный период на территории городского округа чрезвычайных ситуаций природного и техногенного характера не допущено.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2019 год для организации надежной защиты населения и территорий городского округа Евпатория в сфере общественной безопасности и профилактики терроризма: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администрацией города Евпатории принято 12 распорядительных, нормативных актов;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утверждены в установленном порядке 145 объектов возможных террористических посягательств, в т.ч. 2 места с массовым пребыванием людей (Театральная площадь, мемориал «Красная горка»), из них проведено обследование и категорирование по вопросам антитеррористической защищенности 144 объектов;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прошли обучение 18 должностных лиц в сфере профилактики терроризма.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Проведено: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- 5 заседаний антитеррористической комиссии, рассмотрено 24 вопроса;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- 4 заседания комиссии по вопросам укрепления правопорядка и общественной безопасности при главе администрации г.Евпатории, рассмотрено 16 вопросов;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- 4 заседания антинаркотической комиссии, на которых рассмотрено 16 актуальных вопросов;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- 2 рабочих совещания межведомственной рабочей группы (МРГ) по проведению проверок обеспечения антитеррористической защищенности объектов образования, расположенных на территории муниципального образования, на которых рассмотрено 6 актуальных вопросов.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целом, в сфере общественной безопасности на территории муниципального образования городской округ Евпатория за 2019г. зафиксировано уменьшение правонарушений (преступлений) и улучшение раскрываемости ранее совершенных преступлений.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отчетный период на территории городского округа социальная и общественно-политическая обстановка оставалась стабильной, управляемой и контролируемой. Актов террористической направленности не допущено. Конфликтов на межнациональной почве и тенденций к их возникновению не зафиксировано. Контингентов риска (экстремистки настроенных молодежных группировок, радикально ориентированных этнорелигиозных групп и общин), занимающихся распространением идей экстремистского толка, не выявлено.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территории муниципального образования выполняется комплекс мероприятий по усовершенствованию единой дежурно-диспетчерской службы и созданию АПК «Безопасный город».</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Организовано взаимодействие операторского персонала центров обработки вызовов Системы</w:t>
      </w:r>
      <w:r w:rsidRPr="001B4FBD">
        <w:rPr>
          <w:rFonts w:ascii="MS Mincho" w:eastAsia="MS Mincho" w:hAnsi="MS Mincho" w:cs="MS Mincho" w:hint="eastAsia"/>
          <w:sz w:val="24"/>
          <w:szCs w:val="24"/>
        </w:rPr>
        <w:t>‑</w:t>
      </w:r>
      <w:r w:rsidRPr="001B4FBD">
        <w:rPr>
          <w:rFonts w:ascii="Times New Roman" w:hAnsi="Times New Roman" w:cs="Times New Roman"/>
          <w:sz w:val="24"/>
          <w:szCs w:val="24"/>
        </w:rPr>
        <w:t>112, созданных на базе ГКУ РК «Безопасный регион», с единой дежурно-диспетчерской службой муниципального образования и дежурно-диспетчерскими службами экстренных оперативных служб ДДС 101, 102, 103, 104.</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Установлено и функционирует рабочее место Системы</w:t>
      </w:r>
      <w:r w:rsidRPr="001B4FBD">
        <w:rPr>
          <w:rFonts w:ascii="MS Mincho" w:eastAsia="MS Mincho" w:hAnsi="MS Mincho" w:cs="MS Mincho" w:hint="eastAsia"/>
          <w:sz w:val="24"/>
          <w:szCs w:val="24"/>
        </w:rPr>
        <w:t>‑</w:t>
      </w:r>
      <w:r w:rsidRPr="001B4FBD">
        <w:rPr>
          <w:rFonts w:ascii="Times New Roman" w:hAnsi="Times New Roman" w:cs="Times New Roman"/>
          <w:sz w:val="24"/>
          <w:szCs w:val="24"/>
        </w:rPr>
        <w:t>112 в МКУ «Единая дежурно-диспетчерская служба муниципального образования городской округ Евпатория Республики Крым» в режиме 24/7.</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XX. СТРАТЕГИЧЕСКОЕ ПЛАНИРОВАНИЕ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Администрацией города Евпатории ведётся разработка прогнозных и программных документов стратегического планирования. В 2019 году постановлениями администрации утверждены:</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прогноз социально-экономического развития муниципального образования на 2020 год и плановый период 2021—2022 годы;</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перечень муниципальных программ.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Ежеквартально осуществлялся мониторинг реализации 18 муниципальных программ, касающихся развития всех отраслей экономического и социального развития. Ежегодно готовится около 70 заключений к проектам постановлений администрации города Евпатории о внесении изменений в муниципальные программы.</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Распоряжением Главы муниципального образования создан Комитет по стратегическому планированию. При комитете создан экспертный совет, который осуществляет экспертизу проектов и инициатив, представленных рабочей группой по разработке Стратегии при администрации, а также вырабатывает рекомендации по их принятию.</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Обновлен состав рабочей группы по разработке Стратегии социально-экономического развития.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ноябре-декабре 2019 года проведено: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- 2 заседания комитета по стратегическому планированию;</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- 8 заседаний фокус-групп по направлениям: «курорт, туризм», «экономика», «ЖКХ», «социальная сфера».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Определены миссия развития города, главная стратегическая цель и 4 приоритетных направления социально-экономического развития до 2035 года. В 2020 году стратегия будет доработана и утверждена.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Ведется работа по регистрации документов стратегического планирования в Государственной автоматизированной системе «Управление» для внесения документов в федеральный государственный реестр.</w:t>
      </w:r>
    </w:p>
    <w:p w:rsidR="00D34D83" w:rsidRDefault="00D34D83">
      <w:pPr>
        <w:rPr>
          <w:rFonts w:ascii="Times New Roman" w:hAnsi="Times New Roman" w:cs="Times New Roman"/>
          <w:b/>
          <w:bCs/>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XXI. МУНИЦИПАЛЬНЫЙ КОНТРОЛЬ</w:t>
      </w:r>
    </w:p>
    <w:p w:rsidR="00D34D83"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2019 год, по вопросам соблюдения земельного и градостроительного законодательства проведено 252 внеплановые проверки в отношении физических лиц и субъектов хозяйствования, а также 333 выездных осмотра земельных участков на территории МОГО, из них:</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2438"/>
        <w:gridCol w:w="1360"/>
        <w:gridCol w:w="1531"/>
        <w:gridCol w:w="2268"/>
        <w:gridCol w:w="964"/>
        <w:gridCol w:w="963"/>
      </w:tblGrid>
      <w:tr w:rsidR="00D34D83" w:rsidRPr="008D4D0C">
        <w:trPr>
          <w:trHeight w:val="60"/>
        </w:trPr>
        <w:tc>
          <w:tcPr>
            <w:tcW w:w="24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Наименование мероприятия </w:t>
            </w:r>
          </w:p>
        </w:tc>
        <w:tc>
          <w:tcPr>
            <w:tcW w:w="13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Общее количество </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Земельный контроль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Градостроительный и земельный контроль </w:t>
            </w:r>
          </w:p>
        </w:tc>
        <w:tc>
          <w:tcPr>
            <w:tcW w:w="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Физ. лица </w:t>
            </w:r>
          </w:p>
        </w:tc>
        <w:tc>
          <w:tcPr>
            <w:tcW w:w="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Юр. Лица </w:t>
            </w:r>
          </w:p>
        </w:tc>
      </w:tr>
      <w:tr w:rsidR="00D34D83" w:rsidRPr="008D4D0C">
        <w:trPr>
          <w:trHeight w:val="60"/>
        </w:trPr>
        <w:tc>
          <w:tcPr>
            <w:tcW w:w="24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Выездные осмотры (обследования) </w:t>
            </w:r>
          </w:p>
        </w:tc>
        <w:tc>
          <w:tcPr>
            <w:tcW w:w="13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333 </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257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76 </w:t>
            </w:r>
          </w:p>
        </w:tc>
        <w:tc>
          <w:tcPr>
            <w:tcW w:w="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298 </w:t>
            </w:r>
          </w:p>
        </w:tc>
        <w:tc>
          <w:tcPr>
            <w:tcW w:w="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35 </w:t>
            </w:r>
          </w:p>
        </w:tc>
      </w:tr>
      <w:tr w:rsidR="00D34D83" w:rsidRPr="008D4D0C">
        <w:trPr>
          <w:trHeight w:val="60"/>
        </w:trPr>
        <w:tc>
          <w:tcPr>
            <w:tcW w:w="24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Внеплановые проверки </w:t>
            </w:r>
          </w:p>
        </w:tc>
        <w:tc>
          <w:tcPr>
            <w:tcW w:w="13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252 </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72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180 </w:t>
            </w:r>
          </w:p>
        </w:tc>
        <w:tc>
          <w:tcPr>
            <w:tcW w:w="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242 </w:t>
            </w:r>
          </w:p>
        </w:tc>
        <w:tc>
          <w:tcPr>
            <w:tcW w:w="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10 </w:t>
            </w:r>
          </w:p>
        </w:tc>
      </w:tr>
      <w:tr w:rsidR="00D34D83" w:rsidRPr="008D4D0C">
        <w:trPr>
          <w:trHeight w:val="60"/>
        </w:trPr>
        <w:tc>
          <w:tcPr>
            <w:tcW w:w="24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Всего: </w:t>
            </w:r>
          </w:p>
        </w:tc>
        <w:tc>
          <w:tcPr>
            <w:tcW w:w="13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585 </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329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256 </w:t>
            </w:r>
          </w:p>
        </w:tc>
        <w:tc>
          <w:tcPr>
            <w:tcW w:w="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540 </w:t>
            </w:r>
          </w:p>
        </w:tc>
        <w:tc>
          <w:tcPr>
            <w:tcW w:w="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45 </w:t>
            </w:r>
          </w:p>
        </w:tc>
      </w:tr>
    </w:tbl>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Для устранения выявленных нарушений было вынесено 73 предписания. За неисполнение предписания было составлено 52 протокола об административном правонарушении по части 1 статьи 19.5. КоАП РФ, за воспрепятствование законной деятельности должностного лица органа муниципального контроля по проведению проверок или уклонение от таких проверок составлено 15 административных протоколов по ст. 19.4.1 КоАП РФ и 9 протоколов об административном правонарушении по частям 1, 5 статьи 9.5 КоАП РФ.</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По выявленным нарушениям направлены материалы для подготовки искового заявления о сносе незаконных объектов.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Также материалы по выявленным нарушениям земельного законодательства направлены в Государственный комитет по государственной регистрации и кадастру Республики Крым.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составлено 555 протоколов об административных правонарушениях:</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в сфере благоустройства и соблюдения правил благоустройства 278 протоколов,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в сфере торговли и потребительского рынка 227 протоколов.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Из них в отношении юридических лиц и индивидуальных предпринимателей — ​149 протоколов, в отношении физических лиц — ​406 протоколов.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Вынесено 214 предписаний об устранении нарушений обязательных требований: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в сфере размещения наружной рекламы 40 предписаний,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в сфере благоустройства и соблюдения правил благоустройства — ​174 предписаний.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Из них в отношении юридических лиц и индивидуальных предпринимателей — 104 предписаний, в отношении физических лиц — 110 предписаний.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Составлен 21 акт осмотра и обследования, из которых 16 в сфере благоустройства и соблюдения правил благоустройства, 5 в сфере торговли и потребительского рынка.</w:t>
      </w:r>
    </w:p>
    <w:p w:rsidR="00D34D83"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XXII. ДОКУМЕНТООБОРОТ</w:t>
      </w: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И РАБОТА С ОБРАЩЕНИЯМИ ГРАЖДАН</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Как и в предыдущие годы, большое внимание в 2019 году уделялось работе с населением. Именно к местной власти в первую очередь обращаются граждане со своими проблемами, подталкивают власть к решению вопросов, дальнейшему развитию территории города. Многие проблемы были выявлены и решены в результате заявлений граждан и общения с ними на личном приеме.</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в администрацию города Евпатории поступило 3919 обращений, что на 244 обращения (6%) меньше, чем в 2018 году — ​4163.</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Из них: письменных — ​3078, устных обращений — ​384, электронных — ​457.</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Также за отчетный период в администрации зарегистрировано, 408 сообщений из Facebook Главы Республики Крым.</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59 обращений (13%) сократилось количество коллективных обращений в 2019 году их поступило 394 (453 было в 2018).</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коллективных обращениях граждане обращались по вопросам ремонта дорог, систем водоснабжения, благоустройства города, незаконного строительства, парковки машин, ремонта жилья.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истекший период в администрацию города через вышестоящие органы власти поступило 1550 обращений, уменьшение составило 2,3% (1586 с 2018 году).</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Анализ вопросов, поднятых в обращениях граждан, показывает, что на первом месте вопросы проверки законности строительных работ в связи с возведением самовольных (по мнению заявителей) строений — ​576 обращений, что составляет 15% от общего количества поступивших обращений за 2019г.</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втором месте обращения, связанные обустройством внутридворовых территорий парковочными местами, детскими и спортивными площадками — ​304 обращения — ​8% от общего числа.</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 третьем месте находятся заключения и продления договоров аренды земельных участков, оказания помощи в осуществлении государственного кадастрового учета и государственной регистрации прав собственности на земельный участок и другие вопросы в сфере земельных отношений. Их доля в общем объеме письменных обращений составляет 7,5% (300 обращений).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Немалую часть в обращениях граждан занимают вопросы ремонта дорожного покрытия, реконструкции улично-дорожной сети, благоустройства и ремонта подъездных дорог; в т.ч. проведение капитального ремонта дороги по ул. Зеленая в пгт. Заозёрное — ​282 обращения (7%), а также вопросы предоставления жилья и улучшения жилищных условий, они составляют 4% от общего числа, 177 обращений.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отчетный период рассмотрено — ​3592 (92%) обращений. Из них: поддержано 218 (5%) обращений, по — ​3374 (86%) обращениям даны «разъяснения», направлено по компетенции в другие органы — ​468 обращений. На конец 2019 года на рассмотрении находились 327 обращений.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Продолжается работа по проведению приемов граждан по личным вопросам главой администрации, его заместителями. В администрации города Евпатории в 2019 году проведено 80 личных приемов, принято 444 заявителя.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Ни одно обращение не осталось без внимания, по каждому проводился тщательный анализ обоснованности обращения, использовались различные методы и действенные формы реагирования: это и выступления в средствах массовой информации, публикации на сайте, разъяснения законодательства на личном приеме, а также контроль за выполнением принятого решения. Письменные обращения, не требующие дополнительного изучения и проверки, рассматривались безотлагательно.</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на телефонную линию от жителей городского округа Евпатория поступило 271 сообщение, по всем были даны разъяснения в соответствии с законодательством Российской Федерации. По сравнению с аналогичным периодом 2018 года количество обращений на телефонную линию уменьшилось на 34.</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ходе обработки информации, поступившей на телефонную линию, были определены наиболее проблемные сферы для городского округа Евпатория: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1. Жилищно-коммунальное хозяйство (вопросы электроснабжения, отопления, благоустройства) — ​111.</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2. Жилищное хозяйство (вопросы государственной регистрации, улучшения жилищных условий и др.) — ​38.</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3. Транспорт (транспорт и дорожное хозяйство) — ​23.</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4. Вопросы науки, воспитания и обучения детей и молодежи — ​25.</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администрации города большое внимание уделяется не только своевременному рассмотрению обращений граждан, но и качеству подготовки ответов на них. Еженедельно на аппаратных совещаниях при главе администрации анализируются обращения от граждан, поступившие в администрацию за неделю, результаты рассмотрения обращений граждан за неделю, а также осуществляется обратная связь с заявителями для повышения уровня удовлетворенности граждан.</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Вся работа с обращениями граждан в администрации города Евпатории построена на взаимопонимании, ответственности должностных лиц и осознании того, что обращения граждан в органы местного самоуправления — ​это способ защиты их прав и законных интересов.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Документооборот администрации</w:t>
      </w:r>
    </w:p>
    <w:tbl>
      <w:tblPr>
        <w:tblW w:w="0" w:type="auto"/>
        <w:tblInd w:w="2" w:type="dxa"/>
        <w:tblLayout w:type="fixed"/>
        <w:tblCellMar>
          <w:left w:w="0" w:type="dxa"/>
          <w:right w:w="0" w:type="dxa"/>
        </w:tblCellMar>
        <w:tblLook w:val="0000"/>
      </w:tblPr>
      <w:tblGrid>
        <w:gridCol w:w="2381"/>
        <w:gridCol w:w="1191"/>
        <w:gridCol w:w="1190"/>
        <w:gridCol w:w="1191"/>
        <w:gridCol w:w="1190"/>
        <w:gridCol w:w="1191"/>
        <w:gridCol w:w="1190"/>
      </w:tblGrid>
      <w:tr w:rsidR="00D34D83" w:rsidRPr="008D4D0C">
        <w:trPr>
          <w:trHeight w:val="60"/>
        </w:trPr>
        <w:tc>
          <w:tcPr>
            <w:tcW w:w="2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Документы администрации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за 2014 год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за 2015 год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за 2016 год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за 2017 год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за 2018 год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за 2019 год </w:t>
            </w:r>
          </w:p>
        </w:tc>
      </w:tr>
      <w:tr w:rsidR="00D34D83" w:rsidRPr="008D4D0C">
        <w:trPr>
          <w:trHeight w:val="60"/>
        </w:trPr>
        <w:tc>
          <w:tcPr>
            <w:tcW w:w="2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Входящие документы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8189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12032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13241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15435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17041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17428 </w:t>
            </w:r>
          </w:p>
        </w:tc>
      </w:tr>
      <w:tr w:rsidR="00D34D83" w:rsidRPr="008D4D0C">
        <w:trPr>
          <w:trHeight w:val="60"/>
        </w:trPr>
        <w:tc>
          <w:tcPr>
            <w:tcW w:w="2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Инициативные письма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1436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2468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4360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5139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4176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4082 </w:t>
            </w:r>
          </w:p>
        </w:tc>
      </w:tr>
      <w:tr w:rsidR="00D34D83" w:rsidRPr="008D4D0C">
        <w:trPr>
          <w:trHeight w:val="60"/>
        </w:trPr>
        <w:tc>
          <w:tcPr>
            <w:tcW w:w="2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Документы, взятые </w:t>
            </w:r>
            <w:r w:rsidRPr="008D4D0C">
              <w:rPr>
                <w:rFonts w:ascii="Times New Roman" w:hAnsi="Times New Roman" w:cs="Times New Roman"/>
                <w:sz w:val="24"/>
                <w:szCs w:val="24"/>
              </w:rPr>
              <w:br/>
              <w:t xml:space="preserve">на контроль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2900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6275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5930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7651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9298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8542 </w:t>
            </w:r>
          </w:p>
        </w:tc>
      </w:tr>
    </w:tbl>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Подготовлено и принято:</w:t>
      </w:r>
    </w:p>
    <w:tbl>
      <w:tblPr>
        <w:tblW w:w="0" w:type="auto"/>
        <w:tblInd w:w="2" w:type="dxa"/>
        <w:tblLayout w:type="fixed"/>
        <w:tblCellMar>
          <w:left w:w="0" w:type="dxa"/>
          <w:right w:w="0" w:type="dxa"/>
        </w:tblCellMar>
        <w:tblLook w:val="0000"/>
      </w:tblPr>
      <w:tblGrid>
        <w:gridCol w:w="2381"/>
        <w:gridCol w:w="1191"/>
        <w:gridCol w:w="1190"/>
        <w:gridCol w:w="1191"/>
        <w:gridCol w:w="1190"/>
        <w:gridCol w:w="1191"/>
        <w:gridCol w:w="1190"/>
      </w:tblGrid>
      <w:tr w:rsidR="00D34D83" w:rsidRPr="008D4D0C">
        <w:trPr>
          <w:trHeight w:val="60"/>
        </w:trPr>
        <w:tc>
          <w:tcPr>
            <w:tcW w:w="2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Документы администрации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декабрь 2014 года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за 2015 год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за 2016 год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за 2017 год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за 2018 год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за 2019 год </w:t>
            </w:r>
          </w:p>
        </w:tc>
      </w:tr>
      <w:tr w:rsidR="00D34D83" w:rsidRPr="008D4D0C">
        <w:trPr>
          <w:trHeight w:val="60"/>
        </w:trPr>
        <w:tc>
          <w:tcPr>
            <w:tcW w:w="2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Постановления администрации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149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2196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3639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3488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2820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3002 </w:t>
            </w:r>
          </w:p>
        </w:tc>
      </w:tr>
      <w:tr w:rsidR="00D34D83" w:rsidRPr="008D4D0C">
        <w:trPr>
          <w:trHeight w:val="60"/>
        </w:trPr>
        <w:tc>
          <w:tcPr>
            <w:tcW w:w="2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Распоряжения администрации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20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295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306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321 </w:t>
            </w:r>
          </w:p>
        </w:tc>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359 </w:t>
            </w:r>
          </w:p>
        </w:tc>
        <w:tc>
          <w:tcPr>
            <w:tcW w:w="11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D34D83" w:rsidRPr="008D4D0C" w:rsidRDefault="00D34D83" w:rsidP="001B4FBD">
            <w:pPr>
              <w:widowControl w:val="0"/>
              <w:spacing w:after="0" w:line="240" w:lineRule="auto"/>
              <w:jc w:val="both"/>
              <w:rPr>
                <w:rFonts w:ascii="Times New Roman" w:hAnsi="Times New Roman" w:cs="Times New Roman"/>
                <w:sz w:val="24"/>
                <w:szCs w:val="24"/>
              </w:rPr>
            </w:pPr>
            <w:r w:rsidRPr="008D4D0C">
              <w:rPr>
                <w:rFonts w:ascii="Times New Roman" w:hAnsi="Times New Roman" w:cs="Times New Roman"/>
                <w:sz w:val="24"/>
                <w:szCs w:val="24"/>
              </w:rPr>
              <w:t xml:space="preserve"> 384 </w:t>
            </w:r>
          </w:p>
        </w:tc>
      </w:tr>
    </w:tbl>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p>
    <w:p w:rsidR="00D34D83" w:rsidRPr="001B4FBD" w:rsidRDefault="00D34D83" w:rsidP="001B4FBD">
      <w:pPr>
        <w:widowControl w:val="0"/>
        <w:spacing w:after="0" w:line="240" w:lineRule="auto"/>
        <w:ind w:firstLine="709"/>
        <w:jc w:val="center"/>
        <w:rPr>
          <w:rFonts w:ascii="Times New Roman" w:hAnsi="Times New Roman" w:cs="Times New Roman"/>
          <w:b/>
          <w:bCs/>
          <w:sz w:val="24"/>
          <w:szCs w:val="24"/>
        </w:rPr>
      </w:pPr>
      <w:r w:rsidRPr="001B4FBD">
        <w:rPr>
          <w:rFonts w:ascii="Times New Roman" w:hAnsi="Times New Roman" w:cs="Times New Roman"/>
          <w:b/>
          <w:bCs/>
          <w:sz w:val="24"/>
          <w:szCs w:val="24"/>
        </w:rPr>
        <w:t>XXIII. ВЗАИМОДЕЙСТВИЕ СО СМИ, ОБЩЕСТВЕННОСТЬЮ</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отчетный период подготовлено и размещено на официальном сайте муниципального образования более 1500 публикаций различного характера. Это информации о деятельности главы администрации города, его заместителей, структурных подразделений и подведомственных организаций. Данная информация также размещается на официальных страницах в социальных сетях. Материалы направляются для публикации в редакцию газеты «Евпаторийская здравница», а также в редакцию АНО «ТРК «Евпатория» — ​для информирования населения и подготовки сюжетов.</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Ведется фотоархив всех значимых мероприятий городской жизни, публикации в СМИ сопровождаются фотоматериалами. За отчетный период подготовлено 36 фоторепортажей.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Оказывалась консультативная помощь журналистам евпаторийских, крымских и федеральных СМИ.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2019 году осуществлялось тесное взаимодействие с региональными и муниципальными СМИ. На постоянной основе по общественно-значимым и местным вопросам для СМИ готовились пресс-релизы, обзоры и информационные бюллетени различной тематики. Проводился мониторинг, анализ информаций об основных событиях общественно-политического и социально-экономического характера в целях подготовки докладов и выступлений.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Ежедневно проводится мониторинг средств массовой информации муниципального образования городской округ Евпатория. Осуществляется сбор информационных материалов, публикуемых в электронных изданиях, действующих на территории Российской Федерации и касающихся, в частности, городского округа Евпатория.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За 2019 год проведены три тематических пресс-конференции со СМИ, подготовлены пресс-релизы.</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В государственной системе мониторинга социальных сетей «Инцидент» за 2019 год было обработано 1443 обращения.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Наиболее обсуждаемыми темами в текущем периоде стали:</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благоустройство (мусор, уборка территорий, ямы во дворах, отсутствие урн, парковка на газонах, переполненные мусорные контейнеры) 456 обращений;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дороги (ремонт дорог, тротуаров, парковки, отсутствие освещения) 459 обращений;</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B4FBD">
        <w:rPr>
          <w:rFonts w:ascii="Times New Roman" w:hAnsi="Times New Roman" w:cs="Times New Roman"/>
          <w:sz w:val="24"/>
          <w:szCs w:val="24"/>
        </w:rPr>
        <w:t xml:space="preserve"> ЖКХ (температура воды/слабое давление, завышенная плата за коммунальные услуги, управляющие компании) 224 обращения;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общественный транспорт (нарушение графика движения, содержание остановок, неудовлетворительные условия проезда) 84 обращения;</w:t>
      </w:r>
    </w:p>
    <w:p w:rsidR="00D34D83" w:rsidRPr="001B4FBD" w:rsidRDefault="00D34D83" w:rsidP="001B4FBD">
      <w:pPr>
        <w:widowControl w:val="0"/>
        <w:spacing w:after="0" w:line="240" w:lineRule="auto"/>
        <w:ind w:firstLine="709"/>
        <w:jc w:val="both"/>
        <w:rPr>
          <w:rFonts w:ascii="Times New Roman" w:hAnsi="Times New Roman" w:cs="Times New Roman"/>
          <w:sz w:val="24"/>
          <w:szCs w:val="24"/>
        </w:rPr>
      </w:pPr>
      <w:r w:rsidRPr="001B4FBD">
        <w:rPr>
          <w:rFonts w:ascii="Times New Roman" w:hAnsi="Times New Roman" w:cs="Times New Roman"/>
          <w:sz w:val="24"/>
          <w:szCs w:val="24"/>
        </w:rPr>
        <w:t>- образование (нехватка мест в детских садах, строительство школ, детских садов, проблемы с отоплением детских садов и школ) 32 обращения.</w:t>
      </w:r>
    </w:p>
    <w:sectPr w:rsidR="00D34D83" w:rsidRPr="001B4FBD" w:rsidSect="001B4FBD">
      <w:pgSz w:w="11906" w:h="16838"/>
      <w:pgMar w:top="851"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yriad Pro">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D7C6A"/>
    <w:multiLevelType w:val="hybridMultilevel"/>
    <w:tmpl w:val="6F80107E"/>
    <w:lvl w:ilvl="0" w:tplc="0419000F">
      <w:start w:val="1"/>
      <w:numFmt w:val="decimal"/>
      <w:lvlText w:val="%1."/>
      <w:lvlJc w:val="left"/>
      <w:pPr>
        <w:ind w:left="9858" w:hanging="360"/>
      </w:pPr>
    </w:lvl>
    <w:lvl w:ilvl="1" w:tplc="04190019">
      <w:start w:val="1"/>
      <w:numFmt w:val="lowerLetter"/>
      <w:lvlText w:val="%2."/>
      <w:lvlJc w:val="left"/>
      <w:pPr>
        <w:ind w:left="10578" w:hanging="360"/>
      </w:pPr>
    </w:lvl>
    <w:lvl w:ilvl="2" w:tplc="0419001B">
      <w:start w:val="1"/>
      <w:numFmt w:val="lowerRoman"/>
      <w:lvlText w:val="%3."/>
      <w:lvlJc w:val="right"/>
      <w:pPr>
        <w:ind w:left="11298" w:hanging="180"/>
      </w:pPr>
    </w:lvl>
    <w:lvl w:ilvl="3" w:tplc="0419000F">
      <w:start w:val="1"/>
      <w:numFmt w:val="decimal"/>
      <w:lvlText w:val="%4."/>
      <w:lvlJc w:val="left"/>
      <w:pPr>
        <w:ind w:left="12018" w:hanging="360"/>
      </w:pPr>
    </w:lvl>
    <w:lvl w:ilvl="4" w:tplc="04190019">
      <w:start w:val="1"/>
      <w:numFmt w:val="lowerLetter"/>
      <w:lvlText w:val="%5."/>
      <w:lvlJc w:val="left"/>
      <w:pPr>
        <w:ind w:left="12738" w:hanging="360"/>
      </w:pPr>
    </w:lvl>
    <w:lvl w:ilvl="5" w:tplc="0419001B">
      <w:start w:val="1"/>
      <w:numFmt w:val="lowerRoman"/>
      <w:lvlText w:val="%6."/>
      <w:lvlJc w:val="right"/>
      <w:pPr>
        <w:ind w:left="13458" w:hanging="180"/>
      </w:pPr>
    </w:lvl>
    <w:lvl w:ilvl="6" w:tplc="0419000F">
      <w:start w:val="1"/>
      <w:numFmt w:val="decimal"/>
      <w:lvlText w:val="%7."/>
      <w:lvlJc w:val="left"/>
      <w:pPr>
        <w:ind w:left="14178" w:hanging="360"/>
      </w:pPr>
    </w:lvl>
    <w:lvl w:ilvl="7" w:tplc="04190019">
      <w:start w:val="1"/>
      <w:numFmt w:val="lowerLetter"/>
      <w:lvlText w:val="%8."/>
      <w:lvlJc w:val="left"/>
      <w:pPr>
        <w:ind w:left="14898" w:hanging="360"/>
      </w:pPr>
    </w:lvl>
    <w:lvl w:ilvl="8" w:tplc="0419001B">
      <w:start w:val="1"/>
      <w:numFmt w:val="lowerRoman"/>
      <w:lvlText w:val="%9."/>
      <w:lvlJc w:val="right"/>
      <w:pPr>
        <w:ind w:left="15618" w:hanging="180"/>
      </w:pPr>
    </w:lvl>
  </w:abstractNum>
  <w:abstractNum w:abstractNumId="1">
    <w:nsid w:val="615078EE"/>
    <w:multiLevelType w:val="hybridMultilevel"/>
    <w:tmpl w:val="4AB8FFA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F3B6D1D"/>
    <w:multiLevelType w:val="hybridMultilevel"/>
    <w:tmpl w:val="97485274"/>
    <w:lvl w:ilvl="0" w:tplc="6ED449A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FC03774"/>
    <w:multiLevelType w:val="hybridMultilevel"/>
    <w:tmpl w:val="27B81CC6"/>
    <w:lvl w:ilvl="0" w:tplc="6ED449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29F"/>
    <w:rsid w:val="00047DBA"/>
    <w:rsid w:val="00076595"/>
    <w:rsid w:val="001B4FBD"/>
    <w:rsid w:val="001C230C"/>
    <w:rsid w:val="001D6BA1"/>
    <w:rsid w:val="002D5772"/>
    <w:rsid w:val="00303F5A"/>
    <w:rsid w:val="003C48C7"/>
    <w:rsid w:val="0045450C"/>
    <w:rsid w:val="0048675D"/>
    <w:rsid w:val="004D129F"/>
    <w:rsid w:val="005B25BC"/>
    <w:rsid w:val="00636BF7"/>
    <w:rsid w:val="006C32E5"/>
    <w:rsid w:val="008D4D0C"/>
    <w:rsid w:val="008E54B8"/>
    <w:rsid w:val="009266EB"/>
    <w:rsid w:val="00A06F3E"/>
    <w:rsid w:val="00AA4772"/>
    <w:rsid w:val="00AB0565"/>
    <w:rsid w:val="00B96AD4"/>
    <w:rsid w:val="00D34D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A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riadPromodExtraTextStylesmodSergKoTT">
    <w:name w:val="Текст Myriad Pro mod (Extra) (Text Styles mod. Serg KoTT)"/>
    <w:basedOn w:val="Normal"/>
    <w:uiPriority w:val="99"/>
    <w:rsid w:val="006C32E5"/>
    <w:pPr>
      <w:autoSpaceDE w:val="0"/>
      <w:autoSpaceDN w:val="0"/>
      <w:adjustRightInd w:val="0"/>
      <w:spacing w:after="0" w:line="180" w:lineRule="atLeast"/>
      <w:jc w:val="both"/>
      <w:textAlignment w:val="center"/>
    </w:pPr>
    <w:rPr>
      <w:rFonts w:ascii="Myriad Pro" w:hAnsi="Myriad Pro" w:cs="Myriad Pro"/>
      <w:color w:val="000000"/>
      <w:w w:val="95"/>
      <w:sz w:val="20"/>
      <w:szCs w:val="20"/>
    </w:rPr>
  </w:style>
  <w:style w:type="paragraph" w:customStyle="1" w:styleId="MinionPromodTextStylesmodSergKoTT">
    <w:name w:val="Текст Minion Pro mod (Text Styles mod. Serg KoTT)"/>
    <w:basedOn w:val="Normal"/>
    <w:uiPriority w:val="99"/>
    <w:rsid w:val="006C32E5"/>
    <w:pPr>
      <w:autoSpaceDE w:val="0"/>
      <w:autoSpaceDN w:val="0"/>
      <w:adjustRightInd w:val="0"/>
      <w:spacing w:after="0" w:line="190" w:lineRule="atLeast"/>
      <w:ind w:firstLine="170"/>
      <w:jc w:val="both"/>
      <w:textAlignment w:val="center"/>
    </w:pPr>
    <w:rPr>
      <w:rFonts w:ascii="Minion Pro" w:hAnsi="Minion Pro" w:cs="Minion Pro"/>
      <w:color w:val="000000"/>
      <w:w w:val="95"/>
      <w:sz w:val="20"/>
      <w:szCs w:val="20"/>
    </w:rPr>
  </w:style>
  <w:style w:type="paragraph" w:styleId="ListParagraph">
    <w:name w:val="List Paragraph"/>
    <w:basedOn w:val="Normal"/>
    <w:uiPriority w:val="99"/>
    <w:qFormat/>
    <w:rsid w:val="001B4FB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27</Pages>
  <Words>12984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SergeyK</dc:creator>
  <cp:keywords/>
  <dc:description/>
  <cp:lastModifiedBy>OPVO</cp:lastModifiedBy>
  <cp:revision>6</cp:revision>
  <dcterms:created xsi:type="dcterms:W3CDTF">2020-04-24T12:05:00Z</dcterms:created>
  <dcterms:modified xsi:type="dcterms:W3CDTF">2020-05-15T08:27:00Z</dcterms:modified>
</cp:coreProperties>
</file>